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24E" w:rsidRPr="00DB024E" w:rsidRDefault="00DB024E" w:rsidP="00DB024E">
      <w:pPr>
        <w:pStyle w:val="Textoindependiente"/>
        <w:widowControl w:val="0"/>
        <w:tabs>
          <w:tab w:val="left" w:pos="2410"/>
          <w:tab w:val="left" w:pos="3544"/>
          <w:tab w:val="left" w:pos="5954"/>
          <w:tab w:val="left" w:pos="6946"/>
        </w:tabs>
        <w:suppressAutoHyphens/>
        <w:spacing w:after="0" w:line="240" w:lineRule="auto"/>
        <w:ind w:left="3402" w:right="2551" w:hanging="992"/>
        <w:jc w:val="both"/>
        <w:rPr>
          <w:rFonts w:ascii="Tahoma" w:hAnsi="Tahoma" w:cs="Tahoma"/>
          <w:i/>
          <w:sz w:val="20"/>
          <w:szCs w:val="20"/>
          <w:lang w:val="es-PE"/>
        </w:rPr>
      </w:pPr>
      <w:r w:rsidRPr="00DB024E">
        <w:rPr>
          <w:rFonts w:ascii="Tahoma" w:hAnsi="Tahoma" w:cs="Tahoma"/>
          <w:b/>
          <w:i/>
          <w:sz w:val="20"/>
          <w:szCs w:val="20"/>
        </w:rPr>
        <w:t xml:space="preserve">Sumilla: </w:t>
      </w:r>
      <w:r w:rsidRPr="00DB024E">
        <w:rPr>
          <w:rFonts w:ascii="Tahoma" w:hAnsi="Tahoma" w:cs="Tahoma"/>
          <w:i/>
          <w:sz w:val="20"/>
          <w:szCs w:val="20"/>
        </w:rPr>
        <w:t>Para la configuración del supuesto de presentación de documentación falsa, se requiere acreditar la falsedad, esto es que el documento cuestionado no haya sido válidamente expedido por el órgano o agente emisor o que, siendo válidamente expedido, haya sido adulterado en su contenido.</w:t>
      </w:r>
    </w:p>
    <w:p w:rsidR="00DB024E" w:rsidRPr="00DB024E" w:rsidRDefault="00DB024E" w:rsidP="00DB024E">
      <w:pPr>
        <w:pStyle w:val="Textoindependiente3"/>
        <w:spacing w:after="0"/>
        <w:ind w:left="4248" w:right="179" w:firstLine="708"/>
        <w:jc w:val="both"/>
        <w:rPr>
          <w:rFonts w:ascii="Tahoma" w:hAnsi="Tahoma" w:cs="Tahoma"/>
          <w:b/>
          <w:sz w:val="20"/>
          <w:szCs w:val="20"/>
        </w:rPr>
      </w:pPr>
    </w:p>
    <w:p w:rsidR="00DB024E" w:rsidRPr="00DB024E" w:rsidRDefault="00DB024E" w:rsidP="00DB024E">
      <w:pPr>
        <w:pStyle w:val="Textoindependiente3"/>
        <w:spacing w:after="0"/>
        <w:ind w:left="4248" w:right="179" w:firstLine="708"/>
        <w:jc w:val="both"/>
        <w:rPr>
          <w:rFonts w:ascii="Tahoma" w:hAnsi="Tahoma" w:cs="Tahoma"/>
          <w:sz w:val="20"/>
          <w:szCs w:val="20"/>
        </w:rPr>
      </w:pPr>
      <w:r w:rsidRPr="00DB024E">
        <w:rPr>
          <w:rFonts w:ascii="Tahoma" w:hAnsi="Tahoma" w:cs="Tahoma"/>
          <w:b/>
          <w:sz w:val="20"/>
          <w:szCs w:val="20"/>
        </w:rPr>
        <w:t>Lima</w:t>
      </w:r>
      <w:r w:rsidRPr="00DB024E">
        <w:rPr>
          <w:rFonts w:ascii="Tahoma" w:hAnsi="Tahoma" w:cs="Tahoma"/>
          <w:sz w:val="20"/>
          <w:szCs w:val="20"/>
        </w:rPr>
        <w:t xml:space="preserve">, </w:t>
      </w:r>
      <w:r w:rsidR="0027225B">
        <w:rPr>
          <w:rFonts w:ascii="Tahoma" w:hAnsi="Tahoma" w:cs="Tahoma"/>
          <w:sz w:val="20"/>
          <w:szCs w:val="20"/>
        </w:rPr>
        <w:t>08 de Junio de 2011</w:t>
      </w:r>
    </w:p>
    <w:p w:rsidR="00DB024E" w:rsidRPr="00DB024E" w:rsidRDefault="00DB024E" w:rsidP="00DB024E">
      <w:pPr>
        <w:pStyle w:val="Textoindependiente3"/>
        <w:spacing w:after="0"/>
        <w:jc w:val="both"/>
        <w:rPr>
          <w:rFonts w:ascii="Tahoma" w:hAnsi="Tahoma" w:cs="Tahoma"/>
          <w:sz w:val="20"/>
          <w:szCs w:val="20"/>
        </w:rPr>
      </w:pPr>
    </w:p>
    <w:p w:rsidR="00DB024E" w:rsidRPr="00DB024E" w:rsidRDefault="00DB024E" w:rsidP="00DB024E">
      <w:pPr>
        <w:spacing w:after="0" w:line="240" w:lineRule="auto"/>
        <w:jc w:val="both"/>
        <w:rPr>
          <w:rFonts w:ascii="Tahoma" w:hAnsi="Tahoma" w:cs="Tahoma"/>
          <w:sz w:val="20"/>
          <w:szCs w:val="20"/>
        </w:rPr>
      </w:pPr>
      <w:r w:rsidRPr="00DB024E">
        <w:rPr>
          <w:rFonts w:ascii="Tahoma" w:hAnsi="Tahoma" w:cs="Tahoma"/>
          <w:b/>
          <w:sz w:val="20"/>
          <w:szCs w:val="20"/>
        </w:rPr>
        <w:t>VISTO</w:t>
      </w:r>
      <w:r w:rsidRPr="00DB024E">
        <w:rPr>
          <w:rFonts w:ascii="Tahoma" w:hAnsi="Tahoma" w:cs="Tahoma"/>
          <w:sz w:val="20"/>
          <w:szCs w:val="20"/>
        </w:rPr>
        <w:t xml:space="preserve"> en sesión de fecha </w:t>
      </w:r>
      <w:r w:rsidR="000F52D4">
        <w:rPr>
          <w:rFonts w:ascii="Tahoma" w:hAnsi="Tahoma" w:cs="Tahoma"/>
          <w:sz w:val="20"/>
          <w:szCs w:val="20"/>
        </w:rPr>
        <w:t>07</w:t>
      </w:r>
      <w:r w:rsidRPr="00DB024E">
        <w:rPr>
          <w:rFonts w:ascii="Tahoma" w:hAnsi="Tahoma" w:cs="Tahoma"/>
          <w:sz w:val="20"/>
          <w:szCs w:val="20"/>
        </w:rPr>
        <w:t xml:space="preserve"> de </w:t>
      </w:r>
      <w:r w:rsidR="000F52D4">
        <w:rPr>
          <w:rFonts w:ascii="Tahoma" w:hAnsi="Tahoma" w:cs="Tahoma"/>
          <w:sz w:val="20"/>
          <w:szCs w:val="20"/>
        </w:rPr>
        <w:t xml:space="preserve">junio </w:t>
      </w:r>
      <w:r w:rsidRPr="00DB024E">
        <w:rPr>
          <w:rFonts w:ascii="Tahoma" w:hAnsi="Tahoma" w:cs="Tahoma"/>
          <w:sz w:val="20"/>
          <w:szCs w:val="20"/>
        </w:rPr>
        <w:t>de 2011 de la Primera Sala del Tribunal de Contrataciones del Estado el Expediente № 1</w:t>
      </w:r>
      <w:r w:rsidR="000F52D4">
        <w:rPr>
          <w:rFonts w:ascii="Tahoma" w:hAnsi="Tahoma" w:cs="Tahoma"/>
          <w:sz w:val="20"/>
          <w:szCs w:val="20"/>
        </w:rPr>
        <w:t>208</w:t>
      </w:r>
      <w:r w:rsidRPr="00DB024E">
        <w:rPr>
          <w:rFonts w:ascii="Tahoma" w:hAnsi="Tahoma" w:cs="Tahoma"/>
          <w:sz w:val="20"/>
          <w:szCs w:val="20"/>
        </w:rPr>
        <w:t xml:space="preserve">/2010.TC, sobre el procedimiento administrativo sancionador contra </w:t>
      </w:r>
      <w:r w:rsidR="000F52D4">
        <w:rPr>
          <w:rFonts w:ascii="Tahoma" w:hAnsi="Tahoma" w:cs="Tahoma"/>
          <w:sz w:val="20"/>
          <w:szCs w:val="20"/>
        </w:rPr>
        <w:t xml:space="preserve">la empresa </w:t>
      </w:r>
      <w:r w:rsidR="000F52D4" w:rsidRPr="00DB024E">
        <w:rPr>
          <w:rFonts w:ascii="Tahoma" w:hAnsi="Tahoma" w:cs="Tahoma"/>
          <w:sz w:val="20"/>
          <w:szCs w:val="20"/>
        </w:rPr>
        <w:t>INVERSIONES HOME AND TOOLS E.I.R.L.</w:t>
      </w:r>
      <w:r w:rsidRPr="00DB024E">
        <w:rPr>
          <w:rFonts w:ascii="Tahoma" w:hAnsi="Tahoma" w:cs="Tahoma"/>
          <w:sz w:val="20"/>
          <w:szCs w:val="20"/>
        </w:rPr>
        <w:t xml:space="preserve">, </w:t>
      </w:r>
      <w:r w:rsidRPr="00DB024E">
        <w:rPr>
          <w:rFonts w:ascii="Tahoma" w:hAnsi="Tahoma" w:cs="Tahoma"/>
          <w:sz w:val="20"/>
          <w:szCs w:val="20"/>
          <w:lang w:val="es-MX"/>
        </w:rPr>
        <w:t xml:space="preserve">por supuesta responsabilidad en haber presentado documentos falsos y/o inexactos durante su participación en la </w:t>
      </w:r>
      <w:r w:rsidR="000F52D4" w:rsidRPr="00DB024E">
        <w:rPr>
          <w:rFonts w:ascii="Tahoma" w:hAnsi="Tahoma" w:cs="Tahoma"/>
          <w:sz w:val="20"/>
          <w:szCs w:val="20"/>
        </w:rPr>
        <w:t>Adjudicación de Menor Cuantía Nº 039-2010-CEP/MPT</w:t>
      </w:r>
      <w:r w:rsidRPr="00DB024E">
        <w:rPr>
          <w:rFonts w:ascii="Tahoma" w:hAnsi="Tahoma" w:cs="Tahoma"/>
          <w:sz w:val="20"/>
          <w:szCs w:val="20"/>
        </w:rPr>
        <w:t xml:space="preserve">, efectuada por </w:t>
      </w:r>
      <w:r w:rsidR="000F52D4" w:rsidRPr="00DB024E">
        <w:rPr>
          <w:rFonts w:ascii="Tahoma" w:hAnsi="Tahoma" w:cs="Tahoma"/>
          <w:sz w:val="20"/>
          <w:szCs w:val="20"/>
        </w:rPr>
        <w:t>la Municipalidad Provincial de Tarma</w:t>
      </w:r>
      <w:r w:rsidRPr="00DB024E">
        <w:rPr>
          <w:rFonts w:ascii="Tahoma" w:hAnsi="Tahoma" w:cs="Tahoma"/>
          <w:sz w:val="20"/>
          <w:szCs w:val="20"/>
        </w:rPr>
        <w:t>, para la “</w:t>
      </w:r>
      <w:r w:rsidR="000F52D4" w:rsidRPr="00DB024E">
        <w:rPr>
          <w:rFonts w:ascii="Tahoma" w:hAnsi="Tahoma" w:cs="Tahoma"/>
          <w:sz w:val="20"/>
          <w:szCs w:val="20"/>
        </w:rPr>
        <w:t>adquisición de emulsión asfáltica cationica del tipo super Estable</w:t>
      </w:r>
      <w:r w:rsidRPr="00DB024E">
        <w:rPr>
          <w:rFonts w:ascii="Tahoma" w:hAnsi="Tahoma" w:cs="Tahoma"/>
          <w:sz w:val="20"/>
          <w:szCs w:val="20"/>
        </w:rPr>
        <w:t xml:space="preserve">”; y, atendiendo a los siguientes:   </w:t>
      </w:r>
    </w:p>
    <w:p w:rsidR="00DB024E" w:rsidRPr="00DB024E" w:rsidRDefault="00DB024E" w:rsidP="00DB024E">
      <w:pPr>
        <w:spacing w:after="0" w:line="240" w:lineRule="auto"/>
        <w:ind w:right="45"/>
        <w:jc w:val="both"/>
        <w:rPr>
          <w:rFonts w:ascii="Tahoma" w:hAnsi="Tahoma" w:cs="Tahoma"/>
          <w:sz w:val="20"/>
          <w:szCs w:val="20"/>
        </w:rPr>
      </w:pPr>
    </w:p>
    <w:p w:rsidR="00DB024E" w:rsidRPr="00DB024E" w:rsidRDefault="00DB024E" w:rsidP="00DB024E">
      <w:pPr>
        <w:pStyle w:val="Ttulo2"/>
        <w:jc w:val="both"/>
        <w:rPr>
          <w:rFonts w:cs="Tahoma"/>
          <w:sz w:val="20"/>
        </w:rPr>
      </w:pPr>
      <w:r w:rsidRPr="00DB024E">
        <w:rPr>
          <w:rFonts w:cs="Tahoma"/>
          <w:sz w:val="20"/>
        </w:rPr>
        <w:t>ANTECEDENTES:</w:t>
      </w:r>
    </w:p>
    <w:p w:rsidR="006C7735" w:rsidRPr="006C7735" w:rsidRDefault="006C7735" w:rsidP="006C7735">
      <w:pPr>
        <w:spacing w:after="0" w:line="240" w:lineRule="auto"/>
        <w:ind w:left="540"/>
        <w:jc w:val="both"/>
        <w:rPr>
          <w:rFonts w:ascii="Tahoma" w:hAnsi="Tahoma" w:cs="Tahoma"/>
          <w:sz w:val="20"/>
          <w:szCs w:val="20"/>
          <w:lang w:val="es-PE"/>
        </w:rPr>
      </w:pPr>
    </w:p>
    <w:p w:rsidR="00DB024E" w:rsidRPr="00DB024E" w:rsidRDefault="00DB024E" w:rsidP="00DB024E">
      <w:pPr>
        <w:numPr>
          <w:ilvl w:val="0"/>
          <w:numId w:val="1"/>
        </w:numPr>
        <w:tabs>
          <w:tab w:val="clear" w:pos="454"/>
          <w:tab w:val="num" w:pos="540"/>
        </w:tabs>
        <w:spacing w:after="0" w:line="240" w:lineRule="auto"/>
        <w:ind w:left="540" w:hanging="540"/>
        <w:jc w:val="both"/>
        <w:rPr>
          <w:rFonts w:ascii="Tahoma" w:hAnsi="Tahoma" w:cs="Tahoma"/>
          <w:sz w:val="20"/>
          <w:szCs w:val="20"/>
          <w:lang w:val="es-PE"/>
        </w:rPr>
      </w:pPr>
      <w:r w:rsidRPr="00DB024E">
        <w:rPr>
          <w:rFonts w:ascii="Tahoma" w:hAnsi="Tahoma" w:cs="Tahoma"/>
          <w:sz w:val="20"/>
          <w:szCs w:val="20"/>
        </w:rPr>
        <w:t>El 15 de julio de 2010, la Municipalidad Provincial de Tarma, en adelante La Entidad, convocó la Adjudicación de Menor Cuantía Nº 039-2010-CEP/MPT, bajo el ámbito del Decreto de Urgencia 078-2009, para la “adquisición de emulsión asfáltica cationica del tipo super Estable”; por un valor referencial ascendente a S/. 32,729.40 nuevos soles  incluidos los impuestos de Ley.</w:t>
      </w:r>
    </w:p>
    <w:p w:rsidR="00DB024E" w:rsidRDefault="00DB024E" w:rsidP="00DB024E">
      <w:pPr>
        <w:spacing w:after="0" w:line="240" w:lineRule="auto"/>
        <w:ind w:left="540"/>
        <w:jc w:val="both"/>
        <w:rPr>
          <w:rFonts w:ascii="Tahoma" w:hAnsi="Tahoma" w:cs="Tahoma"/>
          <w:sz w:val="20"/>
          <w:szCs w:val="20"/>
          <w:lang w:val="es-PE"/>
        </w:rPr>
      </w:pPr>
    </w:p>
    <w:p w:rsidR="00DB024E" w:rsidRPr="00DB024E" w:rsidRDefault="00DB024E" w:rsidP="00DB024E">
      <w:pPr>
        <w:numPr>
          <w:ilvl w:val="0"/>
          <w:numId w:val="1"/>
        </w:numPr>
        <w:tabs>
          <w:tab w:val="clear" w:pos="454"/>
          <w:tab w:val="num" w:pos="540"/>
        </w:tabs>
        <w:spacing w:after="0" w:line="240" w:lineRule="auto"/>
        <w:ind w:left="540" w:hanging="540"/>
        <w:jc w:val="both"/>
        <w:rPr>
          <w:rFonts w:ascii="Tahoma" w:hAnsi="Tahoma" w:cs="Tahoma"/>
          <w:sz w:val="20"/>
          <w:szCs w:val="20"/>
          <w:lang w:val="es-PE"/>
        </w:rPr>
      </w:pPr>
      <w:r w:rsidRPr="00DB024E">
        <w:rPr>
          <w:rFonts w:ascii="Tahoma" w:hAnsi="Tahoma" w:cs="Tahoma"/>
          <w:sz w:val="20"/>
          <w:szCs w:val="20"/>
        </w:rPr>
        <w:t>El 19 de julio de 2010, se llevó a cabo el acto de presentación de propuestas con la participación de las empresas TDM ASFALTOS S.A.C., CONSORCIO DANTON FECSOL, INVERSIONES HOME AND TOOLS E.I.R.L.</w:t>
      </w:r>
    </w:p>
    <w:p w:rsidR="00DB024E" w:rsidRPr="00DB024E" w:rsidRDefault="00DB024E" w:rsidP="00DB024E">
      <w:pPr>
        <w:pStyle w:val="Prrafodelista"/>
        <w:rPr>
          <w:rFonts w:ascii="Tahoma" w:hAnsi="Tahoma" w:cs="Tahoma"/>
          <w:sz w:val="20"/>
          <w:lang w:val="es-PE"/>
        </w:rPr>
      </w:pPr>
    </w:p>
    <w:p w:rsidR="00DB024E" w:rsidRPr="00DB024E" w:rsidRDefault="00DB024E" w:rsidP="00DB024E">
      <w:pPr>
        <w:numPr>
          <w:ilvl w:val="0"/>
          <w:numId w:val="1"/>
        </w:numPr>
        <w:tabs>
          <w:tab w:val="clear" w:pos="454"/>
          <w:tab w:val="num" w:pos="567"/>
        </w:tabs>
        <w:spacing w:after="0" w:line="240" w:lineRule="auto"/>
        <w:ind w:left="540" w:hanging="540"/>
        <w:jc w:val="both"/>
        <w:rPr>
          <w:rFonts w:ascii="Tahoma" w:hAnsi="Tahoma" w:cs="Tahoma"/>
          <w:sz w:val="20"/>
          <w:szCs w:val="20"/>
          <w:lang w:val="es-PE"/>
        </w:rPr>
      </w:pPr>
      <w:r w:rsidRPr="00DB024E">
        <w:rPr>
          <w:rFonts w:ascii="Tahoma" w:hAnsi="Tahoma" w:cs="Tahoma"/>
          <w:sz w:val="20"/>
          <w:szCs w:val="20"/>
          <w:lang w:val="es-PE"/>
        </w:rPr>
        <w:t xml:space="preserve">El 20 de julio de 2010, se realizó el otorgamiento de la buena pro a favor de la empresa </w:t>
      </w:r>
      <w:r w:rsidRPr="00DB024E">
        <w:rPr>
          <w:rFonts w:ascii="Tahoma" w:hAnsi="Tahoma" w:cs="Tahoma"/>
          <w:sz w:val="20"/>
          <w:szCs w:val="20"/>
        </w:rPr>
        <w:t>INVERSIONES HOME AND TOOLS E.I.R.L.</w:t>
      </w:r>
    </w:p>
    <w:p w:rsidR="00DB024E" w:rsidRPr="00DB024E" w:rsidRDefault="00DB024E" w:rsidP="00DB024E">
      <w:pPr>
        <w:pStyle w:val="Prrafodelista"/>
        <w:rPr>
          <w:rFonts w:ascii="Tahoma" w:hAnsi="Tahoma" w:cs="Tahoma"/>
          <w:sz w:val="20"/>
          <w:lang w:val="es-PE"/>
        </w:rPr>
      </w:pPr>
    </w:p>
    <w:p w:rsidR="00DB024E" w:rsidRPr="00DB024E" w:rsidRDefault="00DB024E" w:rsidP="00DB024E">
      <w:pPr>
        <w:numPr>
          <w:ilvl w:val="0"/>
          <w:numId w:val="1"/>
        </w:numPr>
        <w:tabs>
          <w:tab w:val="clear" w:pos="454"/>
          <w:tab w:val="num" w:pos="567"/>
        </w:tabs>
        <w:spacing w:after="0" w:line="240" w:lineRule="auto"/>
        <w:ind w:left="540" w:hanging="540"/>
        <w:jc w:val="both"/>
        <w:rPr>
          <w:rFonts w:ascii="Tahoma" w:hAnsi="Tahoma" w:cs="Tahoma"/>
          <w:sz w:val="20"/>
          <w:szCs w:val="20"/>
          <w:lang w:val="es-PE"/>
        </w:rPr>
      </w:pPr>
      <w:r w:rsidRPr="00DB024E">
        <w:rPr>
          <w:rFonts w:ascii="Tahoma" w:hAnsi="Tahoma" w:cs="Tahoma"/>
          <w:sz w:val="20"/>
          <w:szCs w:val="20"/>
          <w:lang w:val="es-PE"/>
        </w:rPr>
        <w:t>Con formulario de Denuncia de fecha 10 de agosto de 2010, la empresa TDM ASFALTOS S.A.C. indicó que el Postor ganador había presentado dos órdenes de compra falsas y/o adulteradas (</w:t>
      </w:r>
      <w:r w:rsidRPr="00DB024E">
        <w:rPr>
          <w:rFonts w:ascii="Tahoma" w:hAnsi="Tahoma" w:cs="Tahoma"/>
          <w:color w:val="000000"/>
          <w:sz w:val="20"/>
          <w:szCs w:val="20"/>
        </w:rPr>
        <w:t xml:space="preserve">Órdenes de Compra – Guía De Internamiento Nº 00154 y 2596) </w:t>
      </w:r>
      <w:r w:rsidRPr="00DB024E">
        <w:rPr>
          <w:rFonts w:ascii="Tahoma" w:hAnsi="Tahoma" w:cs="Tahoma"/>
          <w:sz w:val="20"/>
          <w:szCs w:val="20"/>
          <w:lang w:val="es-PE"/>
        </w:rPr>
        <w:t>como sustento de experiencia del postor en su propuesta técnica, con el fin de obtener mayor puntaje.</w:t>
      </w:r>
    </w:p>
    <w:p w:rsidR="00DB024E" w:rsidRPr="00DB024E" w:rsidRDefault="00DB024E" w:rsidP="00DB024E">
      <w:pPr>
        <w:pStyle w:val="Prrafodelista"/>
        <w:rPr>
          <w:rFonts w:ascii="Tahoma" w:hAnsi="Tahoma" w:cs="Tahoma"/>
          <w:sz w:val="20"/>
          <w:lang w:val="es-PE"/>
        </w:rPr>
      </w:pPr>
    </w:p>
    <w:p w:rsidR="00DB024E" w:rsidRPr="00DB024E" w:rsidRDefault="00DB024E" w:rsidP="00DB024E">
      <w:pPr>
        <w:numPr>
          <w:ilvl w:val="0"/>
          <w:numId w:val="1"/>
        </w:numPr>
        <w:tabs>
          <w:tab w:val="clear" w:pos="454"/>
          <w:tab w:val="num" w:pos="567"/>
        </w:tabs>
        <w:spacing w:after="0" w:line="240" w:lineRule="auto"/>
        <w:ind w:left="540" w:hanging="540"/>
        <w:jc w:val="both"/>
        <w:rPr>
          <w:rFonts w:ascii="Tahoma" w:hAnsi="Tahoma" w:cs="Tahoma"/>
          <w:sz w:val="20"/>
          <w:szCs w:val="20"/>
          <w:lang w:val="es-PE"/>
        </w:rPr>
      </w:pPr>
      <w:r w:rsidRPr="00DB024E">
        <w:rPr>
          <w:rFonts w:ascii="Tahoma" w:hAnsi="Tahoma" w:cs="Tahoma"/>
          <w:sz w:val="20"/>
          <w:szCs w:val="20"/>
          <w:lang w:val="es-PE"/>
        </w:rPr>
        <w:t>Mediante Memorando Nº 124-2010/DSF/SSUP-VVS de fecha 08 de setiembre de 2010, la Dirección de Supervisión, Fiscalización y Estudios, comunicó a este colegiado la denuncia presentada.</w:t>
      </w:r>
    </w:p>
    <w:p w:rsidR="00DB024E" w:rsidRPr="00DB024E" w:rsidRDefault="00DB024E" w:rsidP="00DB024E">
      <w:pPr>
        <w:pStyle w:val="Prrafodelista"/>
        <w:rPr>
          <w:rFonts w:ascii="Tahoma" w:hAnsi="Tahoma" w:cs="Tahoma"/>
          <w:sz w:val="20"/>
          <w:lang w:val="es-PE"/>
        </w:rPr>
      </w:pPr>
    </w:p>
    <w:p w:rsidR="00DB024E" w:rsidRPr="00DB024E" w:rsidRDefault="00DB024E" w:rsidP="00DB024E">
      <w:pPr>
        <w:numPr>
          <w:ilvl w:val="0"/>
          <w:numId w:val="1"/>
        </w:numPr>
        <w:tabs>
          <w:tab w:val="clear" w:pos="454"/>
          <w:tab w:val="num" w:pos="567"/>
        </w:tabs>
        <w:spacing w:after="0" w:line="240" w:lineRule="auto"/>
        <w:ind w:left="540" w:hanging="540"/>
        <w:jc w:val="both"/>
        <w:rPr>
          <w:rFonts w:ascii="Tahoma" w:hAnsi="Tahoma" w:cs="Tahoma"/>
          <w:sz w:val="20"/>
          <w:szCs w:val="20"/>
          <w:lang w:val="es-PE"/>
        </w:rPr>
      </w:pPr>
      <w:r w:rsidRPr="00DB024E">
        <w:rPr>
          <w:rFonts w:ascii="Tahoma" w:hAnsi="Tahoma" w:cs="Tahoma"/>
          <w:sz w:val="20"/>
          <w:szCs w:val="20"/>
          <w:lang w:val="es-PE"/>
        </w:rPr>
        <w:t xml:space="preserve">Con decreto de fecha 13 de setiembre de 2010, de manera previa al inicio del procedimiento administrativo sancionador, se corrió traslado a la Entidad de la denuncia presentada a efectos que cumpla con </w:t>
      </w:r>
      <w:r w:rsidRPr="00DB024E">
        <w:rPr>
          <w:rFonts w:ascii="Tahoma" w:hAnsi="Tahoma" w:cs="Tahoma"/>
          <w:color w:val="000000"/>
          <w:sz w:val="20"/>
          <w:szCs w:val="20"/>
        </w:rPr>
        <w:t xml:space="preserve">remitir el </w:t>
      </w:r>
      <w:r w:rsidRPr="00DB024E">
        <w:rPr>
          <w:rFonts w:ascii="Tahoma" w:hAnsi="Tahoma" w:cs="Tahoma"/>
          <w:color w:val="000000"/>
          <w:sz w:val="20"/>
          <w:szCs w:val="20"/>
          <w:u w:val="single"/>
        </w:rPr>
        <w:t>Informe Técnico Legal</w:t>
      </w:r>
      <w:r w:rsidRPr="00DB024E">
        <w:rPr>
          <w:rFonts w:ascii="Tahoma" w:hAnsi="Tahoma" w:cs="Tahoma"/>
          <w:color w:val="000000"/>
          <w:sz w:val="20"/>
          <w:szCs w:val="20"/>
        </w:rPr>
        <w:t xml:space="preserve"> de su asesoría sobre </w:t>
      </w:r>
      <w:r w:rsidRPr="00DB024E">
        <w:rPr>
          <w:rFonts w:ascii="Tahoma" w:hAnsi="Tahoma" w:cs="Tahoma"/>
          <w:color w:val="000000"/>
          <w:sz w:val="20"/>
          <w:szCs w:val="20"/>
        </w:rPr>
        <w:lastRenderedPageBreak/>
        <w:t>la procedencia y presunta responsabilidad de la empresa INVERSIONES HOME AND TOOLS E.I.R.L.</w:t>
      </w:r>
      <w:r w:rsidRPr="00DB024E">
        <w:rPr>
          <w:rFonts w:ascii="Tahoma" w:hAnsi="Tahoma" w:cs="Tahoma"/>
          <w:b/>
          <w:bCs/>
          <w:color w:val="000000"/>
          <w:sz w:val="20"/>
          <w:szCs w:val="20"/>
        </w:rPr>
        <w:t xml:space="preserve"> </w:t>
      </w:r>
      <w:r w:rsidRPr="00DB024E">
        <w:rPr>
          <w:rFonts w:ascii="Tahoma" w:hAnsi="Tahoma" w:cs="Tahoma"/>
          <w:color w:val="000000"/>
          <w:sz w:val="20"/>
          <w:szCs w:val="20"/>
        </w:rPr>
        <w:t>al haber presentado supuesta documentación falsa o inexacta, asimismo se le solicitó adjuntar copia de la propuesta técnica del supuesto infractor, copia del poder o de la resolución de nombramiento del representante de la Entidad así como del documento nacional de identidad de dicho representante.</w:t>
      </w:r>
    </w:p>
    <w:p w:rsidR="00DB024E" w:rsidRPr="00DB024E" w:rsidRDefault="00DB024E" w:rsidP="00DB024E">
      <w:pPr>
        <w:pStyle w:val="Prrafodelista"/>
        <w:rPr>
          <w:rFonts w:ascii="Tahoma" w:hAnsi="Tahoma" w:cs="Tahoma"/>
          <w:sz w:val="20"/>
          <w:lang w:val="es-PE"/>
        </w:rPr>
      </w:pPr>
    </w:p>
    <w:p w:rsidR="00DB024E" w:rsidRPr="00DB024E" w:rsidRDefault="00DB024E" w:rsidP="00DB024E">
      <w:pPr>
        <w:numPr>
          <w:ilvl w:val="0"/>
          <w:numId w:val="1"/>
        </w:numPr>
        <w:tabs>
          <w:tab w:val="clear" w:pos="454"/>
          <w:tab w:val="num" w:pos="567"/>
        </w:tabs>
        <w:spacing w:after="0" w:line="240" w:lineRule="auto"/>
        <w:ind w:left="540" w:hanging="540"/>
        <w:jc w:val="both"/>
        <w:rPr>
          <w:rFonts w:ascii="Tahoma" w:hAnsi="Tahoma" w:cs="Tahoma"/>
          <w:sz w:val="20"/>
          <w:szCs w:val="20"/>
          <w:lang w:val="es-PE"/>
        </w:rPr>
      </w:pPr>
      <w:r w:rsidRPr="00DB024E">
        <w:rPr>
          <w:rFonts w:ascii="Tahoma" w:hAnsi="Tahoma" w:cs="Tahoma"/>
          <w:sz w:val="20"/>
          <w:szCs w:val="20"/>
          <w:lang w:val="es-PE"/>
        </w:rPr>
        <w:t>Con Oficio Nº 009-ALC-MPT/11 de fecha 11 de enero de 2011, la Entidad remitió el Informe Técnico Legal Nº 001-2011/ADB, en el cual se indicó lo siguiente:</w:t>
      </w:r>
    </w:p>
    <w:p w:rsidR="00DB024E" w:rsidRPr="00DB024E" w:rsidRDefault="00DB024E" w:rsidP="00DB024E">
      <w:pPr>
        <w:pStyle w:val="Prrafodelista"/>
        <w:rPr>
          <w:rFonts w:ascii="Tahoma" w:hAnsi="Tahoma" w:cs="Tahoma"/>
          <w:sz w:val="20"/>
          <w:lang w:val="es-PE"/>
        </w:rPr>
      </w:pPr>
    </w:p>
    <w:p w:rsidR="00DB024E" w:rsidRPr="00DB024E" w:rsidRDefault="00DB024E" w:rsidP="00DB024E">
      <w:pPr>
        <w:pStyle w:val="Prrafodelista"/>
        <w:widowControl/>
        <w:numPr>
          <w:ilvl w:val="0"/>
          <w:numId w:val="6"/>
        </w:numPr>
        <w:suppressAutoHyphens w:val="0"/>
        <w:jc w:val="both"/>
        <w:rPr>
          <w:rFonts w:ascii="Tahoma" w:hAnsi="Tahoma" w:cs="Tahoma"/>
          <w:sz w:val="20"/>
          <w:lang w:val="es-PE"/>
        </w:rPr>
      </w:pPr>
      <w:r w:rsidRPr="00DB024E">
        <w:rPr>
          <w:rFonts w:ascii="Tahoma" w:hAnsi="Tahoma" w:cs="Tahoma"/>
          <w:sz w:val="20"/>
          <w:lang w:val="es-PE"/>
        </w:rPr>
        <w:t>A fojas 47 de la propuesta técnica obra la Orden de Compra Nº 2596 por el monto de S/. 17, 272.00</w:t>
      </w:r>
      <w:r w:rsidRPr="00DB024E">
        <w:rPr>
          <w:rStyle w:val="Refdenotaalpie"/>
          <w:rFonts w:ascii="Tahoma" w:hAnsi="Tahoma" w:cs="Tahoma"/>
          <w:sz w:val="20"/>
          <w:lang w:val="es-PE"/>
        </w:rPr>
        <w:footnoteReference w:id="2"/>
      </w:r>
      <w:r w:rsidRPr="00DB024E">
        <w:rPr>
          <w:rFonts w:ascii="Tahoma" w:hAnsi="Tahoma" w:cs="Tahoma"/>
          <w:sz w:val="20"/>
          <w:lang w:val="es-PE"/>
        </w:rPr>
        <w:t xml:space="preserve"> Nuevos Soles, sin embargo, este documento discrepa del proporcionado por el denunciante, el cual ha sido emitido por S/. 427.50 Nuevos soles, lo que indica su falsedad.</w:t>
      </w:r>
    </w:p>
    <w:p w:rsidR="00DB024E" w:rsidRPr="00DB024E" w:rsidRDefault="00DB024E" w:rsidP="00DB024E">
      <w:pPr>
        <w:pStyle w:val="Prrafodelista"/>
        <w:ind w:left="1260"/>
        <w:rPr>
          <w:rFonts w:ascii="Tahoma" w:hAnsi="Tahoma" w:cs="Tahoma"/>
          <w:sz w:val="20"/>
          <w:lang w:val="es-PE"/>
        </w:rPr>
      </w:pPr>
    </w:p>
    <w:p w:rsidR="00DB024E" w:rsidRPr="00DB024E" w:rsidRDefault="00DB024E" w:rsidP="00DB024E">
      <w:pPr>
        <w:pStyle w:val="Prrafodelista"/>
        <w:widowControl/>
        <w:numPr>
          <w:ilvl w:val="0"/>
          <w:numId w:val="6"/>
        </w:numPr>
        <w:suppressAutoHyphens w:val="0"/>
        <w:jc w:val="both"/>
        <w:rPr>
          <w:rFonts w:ascii="Tahoma" w:hAnsi="Tahoma" w:cs="Tahoma"/>
          <w:sz w:val="20"/>
          <w:lang w:val="es-PE"/>
        </w:rPr>
      </w:pPr>
      <w:r w:rsidRPr="00DB024E">
        <w:rPr>
          <w:rFonts w:ascii="Tahoma" w:hAnsi="Tahoma" w:cs="Tahoma"/>
          <w:sz w:val="20"/>
          <w:lang w:val="es-PE"/>
        </w:rPr>
        <w:t>A fojas 34 de la propuesta técnica obra la Orden de Compra Nº 154</w:t>
      </w:r>
      <w:r w:rsidRPr="00DB024E">
        <w:rPr>
          <w:rStyle w:val="Refdenotaalpie"/>
          <w:rFonts w:ascii="Tahoma" w:hAnsi="Tahoma" w:cs="Tahoma"/>
          <w:sz w:val="20"/>
          <w:lang w:val="es-PE"/>
        </w:rPr>
        <w:footnoteReference w:id="3"/>
      </w:r>
      <w:r w:rsidRPr="00DB024E">
        <w:rPr>
          <w:rFonts w:ascii="Tahoma" w:hAnsi="Tahoma" w:cs="Tahoma"/>
          <w:sz w:val="20"/>
          <w:lang w:val="es-PE"/>
        </w:rPr>
        <w:t xml:space="preserve"> por el monto de S/. 9,900.00 Nuevos Soles, sin embargo, este documento discrepa del proporcionado por el denunciante, el cual ha sido emitido por S/. 1,020.00 Nuevos soles, lo que indica su falsedad.</w:t>
      </w:r>
    </w:p>
    <w:p w:rsidR="00DB024E" w:rsidRPr="00DB024E" w:rsidRDefault="00DB024E" w:rsidP="00DB024E">
      <w:pPr>
        <w:pStyle w:val="Prrafodelista"/>
        <w:rPr>
          <w:rFonts w:ascii="Tahoma" w:hAnsi="Tahoma" w:cs="Tahoma"/>
          <w:sz w:val="20"/>
          <w:lang w:val="es-PE"/>
        </w:rPr>
      </w:pPr>
    </w:p>
    <w:p w:rsidR="00DB024E" w:rsidRPr="00DB024E" w:rsidRDefault="00DB024E" w:rsidP="00DB024E">
      <w:pPr>
        <w:pStyle w:val="Prrafodelista"/>
        <w:widowControl/>
        <w:numPr>
          <w:ilvl w:val="0"/>
          <w:numId w:val="6"/>
        </w:numPr>
        <w:suppressAutoHyphens w:val="0"/>
        <w:jc w:val="both"/>
        <w:rPr>
          <w:rFonts w:ascii="Tahoma" w:hAnsi="Tahoma" w:cs="Tahoma"/>
          <w:sz w:val="20"/>
          <w:lang w:val="es-PE"/>
        </w:rPr>
      </w:pPr>
      <w:r w:rsidRPr="00DB024E">
        <w:rPr>
          <w:rFonts w:ascii="Tahoma" w:hAnsi="Tahoma" w:cs="Tahoma"/>
          <w:sz w:val="20"/>
          <w:lang w:val="es-PE"/>
        </w:rPr>
        <w:t>A fojas 36 y 49 de la propuesta técnica obran copia de los certificados de cumplimiento emitido por la Municipalidad de Huancayo, los mismo que están suscritos por la Sra. Marcy Muñoz Correa</w:t>
      </w:r>
      <w:r w:rsidRPr="00DB024E">
        <w:rPr>
          <w:rStyle w:val="Refdenotaalpie"/>
          <w:rFonts w:ascii="Tahoma" w:hAnsi="Tahoma" w:cs="Tahoma"/>
          <w:sz w:val="20"/>
          <w:lang w:val="es-PE"/>
        </w:rPr>
        <w:footnoteReference w:id="4"/>
      </w:r>
      <w:r w:rsidRPr="00DB024E">
        <w:rPr>
          <w:rFonts w:ascii="Tahoma" w:hAnsi="Tahoma" w:cs="Tahoma"/>
          <w:sz w:val="20"/>
          <w:lang w:val="es-PE"/>
        </w:rPr>
        <w:t>, sin embargo esta profesional a dicha fecha laborada en ESSALUD  como gerente de logística, por lo que también habría falsedad en dichos documentos.</w:t>
      </w:r>
    </w:p>
    <w:p w:rsidR="00DB024E" w:rsidRPr="00DB024E" w:rsidRDefault="00DB024E" w:rsidP="00DB024E">
      <w:pPr>
        <w:pStyle w:val="Prrafodelista"/>
        <w:rPr>
          <w:rFonts w:ascii="Tahoma" w:hAnsi="Tahoma" w:cs="Tahoma"/>
          <w:sz w:val="20"/>
          <w:lang w:val="es-PE"/>
        </w:rPr>
      </w:pPr>
    </w:p>
    <w:p w:rsidR="00DB024E" w:rsidRPr="00DB024E" w:rsidRDefault="00DB024E" w:rsidP="00DB024E">
      <w:pPr>
        <w:pStyle w:val="Prrafodelista"/>
        <w:widowControl/>
        <w:numPr>
          <w:ilvl w:val="0"/>
          <w:numId w:val="6"/>
        </w:numPr>
        <w:suppressAutoHyphens w:val="0"/>
        <w:jc w:val="both"/>
        <w:rPr>
          <w:rFonts w:ascii="Tahoma" w:hAnsi="Tahoma" w:cs="Tahoma"/>
          <w:sz w:val="20"/>
          <w:lang w:val="es-PE"/>
        </w:rPr>
      </w:pPr>
      <w:r w:rsidRPr="00DB024E">
        <w:rPr>
          <w:rFonts w:ascii="Tahoma" w:hAnsi="Tahoma" w:cs="Tahoma"/>
          <w:sz w:val="20"/>
          <w:lang w:val="es-PE"/>
        </w:rPr>
        <w:t>A fojas 35 y 48 de la propuesta técnica obran copia de los cheques supuestamente emitidos por la Municipalidad Provincial de Huancayo, por los importes de S/. 17, 272.00 y S/. 9, 900.00 Nuevos Soles, sin embargo el número de los cheques es el mismo esto es 48829645, lo que evidenciaría la falsificación de documentos.</w:t>
      </w:r>
    </w:p>
    <w:p w:rsidR="00DB024E" w:rsidRPr="00DB024E" w:rsidRDefault="00DB024E" w:rsidP="00DB024E">
      <w:pPr>
        <w:pStyle w:val="Prrafodelista"/>
        <w:rPr>
          <w:rFonts w:ascii="Tahoma" w:hAnsi="Tahoma" w:cs="Tahoma"/>
          <w:sz w:val="20"/>
          <w:lang w:val="es-PE"/>
        </w:rPr>
      </w:pPr>
    </w:p>
    <w:p w:rsidR="00DB024E" w:rsidRPr="00DB024E" w:rsidRDefault="00DB024E" w:rsidP="00DB024E">
      <w:pPr>
        <w:numPr>
          <w:ilvl w:val="0"/>
          <w:numId w:val="1"/>
        </w:numPr>
        <w:tabs>
          <w:tab w:val="clear" w:pos="454"/>
          <w:tab w:val="num" w:pos="567"/>
        </w:tabs>
        <w:spacing w:after="0" w:line="240" w:lineRule="auto"/>
        <w:ind w:left="540" w:hanging="540"/>
        <w:jc w:val="both"/>
        <w:rPr>
          <w:rFonts w:ascii="Tahoma" w:hAnsi="Tahoma" w:cs="Tahoma"/>
          <w:sz w:val="20"/>
          <w:szCs w:val="20"/>
          <w:lang w:val="es-PE"/>
        </w:rPr>
      </w:pPr>
      <w:r w:rsidRPr="00DB024E">
        <w:rPr>
          <w:rFonts w:ascii="Tahoma" w:hAnsi="Tahoma" w:cs="Tahoma"/>
          <w:sz w:val="20"/>
          <w:szCs w:val="20"/>
          <w:lang w:val="es-PE"/>
        </w:rPr>
        <w:t xml:space="preserve">Con decreto de fecha 14 de enero de 2011, se requirió a la Entidad que </w:t>
      </w:r>
      <w:r w:rsidRPr="00DB024E">
        <w:rPr>
          <w:rFonts w:ascii="Tahoma" w:hAnsi="Tahoma" w:cs="Tahoma"/>
          <w:color w:val="000000"/>
          <w:sz w:val="20"/>
          <w:szCs w:val="20"/>
        </w:rPr>
        <w:t>cumpla con subsanar su comunicación, debiendo remitir documentación de verificación posterior con la que se concluye que los documentos mencionados en su Informe Técnico Legal Nº 001-2011/ADB serían falsos y/o inexactos.</w:t>
      </w:r>
    </w:p>
    <w:p w:rsidR="00DB024E" w:rsidRPr="00DB024E" w:rsidRDefault="00DB024E" w:rsidP="00DB024E">
      <w:pPr>
        <w:pStyle w:val="Prrafodelista"/>
        <w:rPr>
          <w:rFonts w:ascii="Tahoma" w:hAnsi="Tahoma" w:cs="Tahoma"/>
          <w:sz w:val="20"/>
          <w:lang w:val="es-PE"/>
        </w:rPr>
      </w:pPr>
    </w:p>
    <w:p w:rsidR="00DB024E" w:rsidRPr="00DB024E" w:rsidRDefault="00DB024E" w:rsidP="00DB024E">
      <w:pPr>
        <w:numPr>
          <w:ilvl w:val="0"/>
          <w:numId w:val="1"/>
        </w:numPr>
        <w:tabs>
          <w:tab w:val="clear" w:pos="454"/>
          <w:tab w:val="num" w:pos="567"/>
        </w:tabs>
        <w:spacing w:after="0" w:line="240" w:lineRule="auto"/>
        <w:ind w:left="540" w:hanging="540"/>
        <w:jc w:val="both"/>
        <w:rPr>
          <w:rFonts w:ascii="Tahoma" w:hAnsi="Tahoma" w:cs="Tahoma"/>
          <w:sz w:val="20"/>
          <w:szCs w:val="20"/>
          <w:lang w:val="es-PE"/>
        </w:rPr>
      </w:pPr>
      <w:r w:rsidRPr="00DB024E">
        <w:rPr>
          <w:rFonts w:ascii="Tahoma" w:hAnsi="Tahoma" w:cs="Tahoma"/>
          <w:sz w:val="20"/>
          <w:szCs w:val="20"/>
          <w:lang w:val="es-PE"/>
        </w:rPr>
        <w:t>Mediante decreto de fecha 03 de febrero de 2011, no habiendo cumplido la Entidad con remitir la información requerida, se dispuso reiterar la solicitud de la información realizada.</w:t>
      </w:r>
    </w:p>
    <w:p w:rsidR="00DB024E" w:rsidRDefault="00DB024E" w:rsidP="00DB024E">
      <w:pPr>
        <w:spacing w:after="0" w:line="240" w:lineRule="auto"/>
        <w:ind w:left="540"/>
        <w:jc w:val="both"/>
        <w:rPr>
          <w:rFonts w:ascii="Tahoma" w:hAnsi="Tahoma" w:cs="Tahoma"/>
          <w:sz w:val="20"/>
          <w:szCs w:val="20"/>
          <w:lang w:val="es-PE"/>
        </w:rPr>
      </w:pPr>
    </w:p>
    <w:p w:rsidR="00DB024E" w:rsidRPr="00DB024E" w:rsidRDefault="00DB024E" w:rsidP="00DB024E">
      <w:pPr>
        <w:numPr>
          <w:ilvl w:val="0"/>
          <w:numId w:val="1"/>
        </w:numPr>
        <w:tabs>
          <w:tab w:val="clear" w:pos="454"/>
          <w:tab w:val="num" w:pos="567"/>
        </w:tabs>
        <w:spacing w:after="0" w:line="240" w:lineRule="auto"/>
        <w:ind w:left="540" w:hanging="540"/>
        <w:jc w:val="both"/>
        <w:rPr>
          <w:rFonts w:ascii="Tahoma" w:hAnsi="Tahoma" w:cs="Tahoma"/>
          <w:sz w:val="20"/>
          <w:szCs w:val="20"/>
          <w:lang w:val="es-PE"/>
        </w:rPr>
      </w:pPr>
      <w:r w:rsidRPr="00DB024E">
        <w:rPr>
          <w:rFonts w:ascii="Tahoma" w:hAnsi="Tahoma" w:cs="Tahoma"/>
          <w:sz w:val="20"/>
          <w:szCs w:val="20"/>
          <w:lang w:val="es-PE"/>
        </w:rPr>
        <w:t>Con Oficio Nº 061-ALC-MPT/2011 de fecha 17 de febrero de 2011, la Entidad solicitó se le otorgué el plazo adicional de cinco días para remitir la documentación requerida.</w:t>
      </w:r>
    </w:p>
    <w:p w:rsidR="00DB024E" w:rsidRPr="00DB024E" w:rsidRDefault="00DB024E" w:rsidP="00DB024E">
      <w:pPr>
        <w:pStyle w:val="Prrafodelista"/>
        <w:rPr>
          <w:rFonts w:ascii="Tahoma" w:hAnsi="Tahoma" w:cs="Tahoma"/>
          <w:sz w:val="20"/>
          <w:lang w:val="es-PE"/>
        </w:rPr>
      </w:pPr>
    </w:p>
    <w:p w:rsidR="00DB024E" w:rsidRPr="00DB024E" w:rsidRDefault="00DB024E" w:rsidP="00DB024E">
      <w:pPr>
        <w:numPr>
          <w:ilvl w:val="0"/>
          <w:numId w:val="1"/>
        </w:numPr>
        <w:tabs>
          <w:tab w:val="clear" w:pos="454"/>
          <w:tab w:val="num" w:pos="567"/>
        </w:tabs>
        <w:spacing w:after="0" w:line="240" w:lineRule="auto"/>
        <w:ind w:left="540" w:hanging="540"/>
        <w:jc w:val="both"/>
        <w:rPr>
          <w:rFonts w:ascii="Tahoma" w:hAnsi="Tahoma" w:cs="Tahoma"/>
          <w:sz w:val="20"/>
          <w:szCs w:val="20"/>
          <w:lang w:val="es-PE"/>
        </w:rPr>
      </w:pPr>
      <w:r w:rsidRPr="00DB024E">
        <w:rPr>
          <w:rFonts w:ascii="Tahoma" w:hAnsi="Tahoma" w:cs="Tahoma"/>
          <w:sz w:val="20"/>
          <w:szCs w:val="20"/>
          <w:lang w:val="es-PE"/>
        </w:rPr>
        <w:t>Con decreto de fecha 18 de febrero de 2011, se le concedió a la Entidad el plazo de 05 días adicionales para remitir la documentación correspondiente.</w:t>
      </w:r>
    </w:p>
    <w:p w:rsidR="00DB024E" w:rsidRPr="00DB024E" w:rsidRDefault="00DB024E" w:rsidP="00DB024E">
      <w:pPr>
        <w:pStyle w:val="Prrafodelista"/>
        <w:rPr>
          <w:rFonts w:ascii="Tahoma" w:hAnsi="Tahoma" w:cs="Tahoma"/>
          <w:sz w:val="20"/>
          <w:lang w:val="es-PE"/>
        </w:rPr>
      </w:pPr>
    </w:p>
    <w:p w:rsidR="00DB024E" w:rsidRPr="00DB024E" w:rsidRDefault="00DB024E" w:rsidP="00DB024E">
      <w:pPr>
        <w:numPr>
          <w:ilvl w:val="0"/>
          <w:numId w:val="1"/>
        </w:numPr>
        <w:tabs>
          <w:tab w:val="clear" w:pos="454"/>
          <w:tab w:val="num" w:pos="567"/>
        </w:tabs>
        <w:spacing w:after="0" w:line="240" w:lineRule="auto"/>
        <w:ind w:left="540" w:hanging="540"/>
        <w:jc w:val="both"/>
        <w:rPr>
          <w:rFonts w:ascii="Tahoma" w:hAnsi="Tahoma" w:cs="Tahoma"/>
          <w:sz w:val="20"/>
          <w:szCs w:val="20"/>
          <w:lang w:val="es-PE"/>
        </w:rPr>
      </w:pPr>
      <w:r w:rsidRPr="00DB024E">
        <w:rPr>
          <w:rFonts w:ascii="Tahoma" w:hAnsi="Tahoma" w:cs="Tahoma"/>
          <w:sz w:val="20"/>
          <w:szCs w:val="20"/>
          <w:lang w:val="es-PE"/>
        </w:rPr>
        <w:lastRenderedPageBreak/>
        <w:t>Mediante Oficio NMº 078-ALC-MPT/2011 de fecha 01 de marzo de 2011, la Entidad remitió la documentación relacionada a la verificación posterior a los documentos cuestionados como falsos.</w:t>
      </w:r>
    </w:p>
    <w:p w:rsidR="00DB024E" w:rsidRPr="00DB024E" w:rsidRDefault="00DB024E" w:rsidP="00DB024E">
      <w:pPr>
        <w:pStyle w:val="Prrafodelista"/>
        <w:rPr>
          <w:rFonts w:ascii="Tahoma" w:hAnsi="Tahoma" w:cs="Tahoma"/>
          <w:sz w:val="20"/>
        </w:rPr>
      </w:pPr>
    </w:p>
    <w:p w:rsidR="00DB024E" w:rsidRPr="00DB024E" w:rsidRDefault="00DB024E" w:rsidP="00DB024E">
      <w:pPr>
        <w:pStyle w:val="Prrafodelista"/>
        <w:widowControl/>
        <w:numPr>
          <w:ilvl w:val="0"/>
          <w:numId w:val="1"/>
        </w:numPr>
        <w:tabs>
          <w:tab w:val="clear" w:pos="454"/>
          <w:tab w:val="left" w:pos="567"/>
        </w:tabs>
        <w:suppressAutoHyphens w:val="0"/>
        <w:ind w:left="567" w:hanging="567"/>
        <w:jc w:val="both"/>
        <w:rPr>
          <w:rFonts w:ascii="Tahoma" w:hAnsi="Tahoma" w:cs="Tahoma"/>
          <w:sz w:val="20"/>
        </w:rPr>
      </w:pPr>
      <w:r w:rsidRPr="00DB024E">
        <w:rPr>
          <w:rFonts w:ascii="Tahoma" w:hAnsi="Tahoma" w:cs="Tahoma"/>
          <w:sz w:val="20"/>
        </w:rPr>
        <w:t xml:space="preserve">Mediante decreto del 04 de marzo de 2011, se inició procedimiento administrativo sancionador en contra del Postor, por supuesta responsabilidad </w:t>
      </w:r>
      <w:r w:rsidRPr="00DB024E">
        <w:rPr>
          <w:rFonts w:ascii="Tahoma" w:hAnsi="Tahoma" w:cs="Tahoma"/>
          <w:color w:val="000000"/>
          <w:sz w:val="20"/>
        </w:rPr>
        <w:t>en la presentación, como parte de su propuesta técnica, de los siguientes documentos:  ORDEN DE COMPRA – GUÍA DE INTERNAMIENTO Nº 00154 de fecha 12.02.2010, CHEQUE del Banco de la Nación de fecha 03.03.2010 a la orden de Inversiones Home and Tools E.I.R.L., CERTIFICADO DE CUMPLIMIENTO de fecha 18.03.2010, ORDEN DE COMPRA – GUÍA DE INTERNAMIENTO Nº 02596 de fecha 26.11.2009, CHEQUE del Banco de la Nación de fecha 15.12.2009  a la orden de Inversiones Home and Tools E.I.R.L. y CERTIFICADO DE CUMPLIMIENTO de fecha 15.01.2010, documentos supuestamente falsos o inexactos presentados en el Proceso de Selección Adjudicación de Menor Cuantía Nº 039-2010-CEP/MPT.</w:t>
      </w:r>
    </w:p>
    <w:p w:rsidR="00DB024E" w:rsidRPr="00DB024E" w:rsidRDefault="00DB024E" w:rsidP="00DB024E">
      <w:pPr>
        <w:pStyle w:val="Prrafodelista"/>
        <w:rPr>
          <w:rFonts w:ascii="Tahoma" w:hAnsi="Tahoma" w:cs="Tahoma"/>
          <w:sz w:val="20"/>
        </w:rPr>
      </w:pPr>
    </w:p>
    <w:p w:rsidR="00DB024E" w:rsidRPr="00DB024E" w:rsidRDefault="00DB024E" w:rsidP="00DB024E">
      <w:pPr>
        <w:pStyle w:val="Prrafodelista"/>
        <w:tabs>
          <w:tab w:val="left" w:pos="567"/>
        </w:tabs>
        <w:ind w:left="567"/>
        <w:rPr>
          <w:rFonts w:ascii="Tahoma" w:hAnsi="Tahoma" w:cs="Tahoma"/>
          <w:color w:val="000000"/>
          <w:sz w:val="20"/>
        </w:rPr>
      </w:pPr>
      <w:r w:rsidRPr="00DB024E">
        <w:rPr>
          <w:rFonts w:ascii="Tahoma" w:hAnsi="Tahoma" w:cs="Tahoma"/>
          <w:sz w:val="20"/>
        </w:rPr>
        <w:t xml:space="preserve">Asimismo, se le indicó al Postor </w:t>
      </w:r>
      <w:r w:rsidRPr="00DB024E">
        <w:rPr>
          <w:rFonts w:ascii="Tahoma" w:hAnsi="Tahoma" w:cs="Tahoma"/>
          <w:color w:val="000000"/>
          <w:sz w:val="20"/>
        </w:rPr>
        <w:t>que dentro del plazo de 10 (diez) días hábiles cumpla con presentar sus descargos, bajo apercibimiento de resolver el procedimiento con la documentación obrante en el expediente.</w:t>
      </w:r>
    </w:p>
    <w:p w:rsidR="00DB024E" w:rsidRPr="00DB024E" w:rsidRDefault="00DB024E" w:rsidP="00DB024E">
      <w:pPr>
        <w:pStyle w:val="Prrafodelista"/>
        <w:tabs>
          <w:tab w:val="left" w:pos="567"/>
        </w:tabs>
        <w:ind w:left="567"/>
        <w:rPr>
          <w:rFonts w:ascii="Tahoma" w:hAnsi="Tahoma" w:cs="Tahoma"/>
          <w:sz w:val="20"/>
        </w:rPr>
      </w:pPr>
    </w:p>
    <w:p w:rsidR="00DB024E" w:rsidRPr="00DB024E" w:rsidRDefault="00DB024E" w:rsidP="00DB024E">
      <w:pPr>
        <w:pStyle w:val="Prrafodelista"/>
        <w:widowControl/>
        <w:numPr>
          <w:ilvl w:val="0"/>
          <w:numId w:val="1"/>
        </w:numPr>
        <w:tabs>
          <w:tab w:val="clear" w:pos="454"/>
          <w:tab w:val="num" w:pos="567"/>
        </w:tabs>
        <w:suppressAutoHyphens w:val="0"/>
        <w:ind w:left="567" w:hanging="567"/>
        <w:jc w:val="both"/>
        <w:rPr>
          <w:rFonts w:ascii="Tahoma" w:hAnsi="Tahoma" w:cs="Tahoma"/>
          <w:b/>
          <w:bCs/>
          <w:sz w:val="20"/>
        </w:rPr>
      </w:pPr>
      <w:r w:rsidRPr="00DB024E">
        <w:rPr>
          <w:rFonts w:ascii="Tahoma" w:hAnsi="Tahoma" w:cs="Tahoma"/>
          <w:sz w:val="20"/>
        </w:rPr>
        <w:t>Mediante decreto de fecha 03 de mayo de 2011, no habiendo cumplido el Postor con presentar sus descargos, se hizo efectivo el apercibimiento de resolver con la documentación obrante en autos y se dispuso remitir el expediente a la Primera Sala del Tribunal para que resuelva.</w:t>
      </w:r>
    </w:p>
    <w:p w:rsidR="00DB024E" w:rsidRDefault="00DB024E" w:rsidP="00DB024E">
      <w:pPr>
        <w:tabs>
          <w:tab w:val="num" w:pos="9720"/>
        </w:tabs>
        <w:spacing w:after="0" w:line="240" w:lineRule="auto"/>
        <w:jc w:val="both"/>
        <w:rPr>
          <w:rFonts w:ascii="Tahoma" w:hAnsi="Tahoma" w:cs="Tahoma"/>
          <w:b/>
          <w:sz w:val="20"/>
          <w:szCs w:val="20"/>
        </w:rPr>
      </w:pPr>
    </w:p>
    <w:p w:rsidR="00DB024E" w:rsidRPr="00DB024E" w:rsidRDefault="00DB024E" w:rsidP="00DB024E">
      <w:pPr>
        <w:tabs>
          <w:tab w:val="num" w:pos="9720"/>
        </w:tabs>
        <w:spacing w:after="0" w:line="240" w:lineRule="auto"/>
        <w:jc w:val="both"/>
        <w:rPr>
          <w:rFonts w:ascii="Tahoma" w:hAnsi="Tahoma" w:cs="Tahoma"/>
          <w:b/>
          <w:sz w:val="20"/>
          <w:szCs w:val="20"/>
        </w:rPr>
      </w:pPr>
    </w:p>
    <w:p w:rsidR="00DB024E" w:rsidRPr="00DB024E" w:rsidRDefault="00DB024E" w:rsidP="00DB024E">
      <w:pPr>
        <w:tabs>
          <w:tab w:val="num" w:pos="9720"/>
        </w:tabs>
        <w:spacing w:after="0" w:line="240" w:lineRule="auto"/>
        <w:jc w:val="both"/>
        <w:rPr>
          <w:rFonts w:ascii="Tahoma" w:hAnsi="Tahoma" w:cs="Tahoma"/>
          <w:b/>
          <w:sz w:val="20"/>
          <w:szCs w:val="20"/>
        </w:rPr>
      </w:pPr>
      <w:r w:rsidRPr="00DB024E">
        <w:rPr>
          <w:rFonts w:ascii="Tahoma" w:hAnsi="Tahoma" w:cs="Tahoma"/>
          <w:b/>
          <w:sz w:val="20"/>
          <w:szCs w:val="20"/>
        </w:rPr>
        <w:t>FUNDAMENTACIÓN:</w:t>
      </w:r>
    </w:p>
    <w:p w:rsidR="00DB024E" w:rsidRDefault="00DB024E" w:rsidP="00DB024E">
      <w:pPr>
        <w:spacing w:after="0" w:line="240" w:lineRule="auto"/>
        <w:ind w:left="720"/>
        <w:jc w:val="both"/>
        <w:rPr>
          <w:rFonts w:ascii="Tahoma" w:hAnsi="Tahoma" w:cs="Tahoma"/>
          <w:sz w:val="20"/>
          <w:szCs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El presente procedimiento sancionador ha sido iniciado para determinar si la empresa INVERSIONES HOME AND TOOLS E.I.R.L. ha incurrido en responsabilidad administrativa por la supuesta presentación de documentos falsos o inexactos durante la Adjudicación de Menor Cuantía Nº 039-2010-CEP/MPT, bajo el ámbito del Decreto de Urgencia 078-2009; infracción tipificada en el literal i) del numeral 51.1 del artículo 51 de la Ley de Contrataciones del Estado</w:t>
      </w:r>
      <w:r w:rsidRPr="00DB024E">
        <w:rPr>
          <w:rFonts w:ascii="Tahoma" w:hAnsi="Tahoma" w:cs="Tahoma"/>
          <w:sz w:val="20"/>
          <w:szCs w:val="20"/>
          <w:vertAlign w:val="superscript"/>
        </w:rPr>
        <w:footnoteReference w:id="5"/>
      </w:r>
      <w:r w:rsidRPr="00DB024E">
        <w:rPr>
          <w:rFonts w:ascii="Tahoma" w:hAnsi="Tahoma" w:cs="Tahoma"/>
          <w:sz w:val="20"/>
          <w:szCs w:val="20"/>
        </w:rPr>
        <w:t>, en adelante la Ley, concordante con el literal i) del numeral 1 del artículo 237 de su Reglamento</w:t>
      </w:r>
      <w:r w:rsidRPr="00DB024E">
        <w:rPr>
          <w:rFonts w:ascii="Tahoma" w:hAnsi="Tahoma" w:cs="Tahoma"/>
          <w:sz w:val="20"/>
          <w:szCs w:val="20"/>
          <w:vertAlign w:val="superscript"/>
        </w:rPr>
        <w:footnoteReference w:id="6"/>
      </w:r>
      <w:r w:rsidRPr="00DB024E">
        <w:rPr>
          <w:rFonts w:ascii="Tahoma" w:hAnsi="Tahoma" w:cs="Tahoma"/>
          <w:sz w:val="20"/>
          <w:szCs w:val="20"/>
        </w:rPr>
        <w:t>, normas vigentes al suscitarse los hechos</w:t>
      </w:r>
      <w:r w:rsidRPr="00DB024E">
        <w:rPr>
          <w:rFonts w:ascii="Tahoma" w:hAnsi="Tahoma" w:cs="Tahoma"/>
          <w:sz w:val="20"/>
          <w:szCs w:val="20"/>
          <w:lang w:eastAsia="es-ES"/>
        </w:rPr>
        <w:t>.</w:t>
      </w:r>
    </w:p>
    <w:p w:rsidR="00DB024E" w:rsidRDefault="00DB024E" w:rsidP="00DB024E">
      <w:pPr>
        <w:spacing w:line="240" w:lineRule="auto"/>
        <w:ind w:left="720"/>
        <w:rPr>
          <w:rFonts w:ascii="Tahoma" w:hAnsi="Tahoma" w:cs="Tahoma"/>
          <w:b/>
          <w:bCs/>
          <w:i/>
          <w:iCs/>
          <w:sz w:val="20"/>
          <w:szCs w:val="20"/>
          <w:lang w:val="es-MX"/>
        </w:rPr>
      </w:pPr>
    </w:p>
    <w:p w:rsidR="00DB024E" w:rsidRPr="00DB024E" w:rsidRDefault="00DB024E" w:rsidP="00DB024E">
      <w:pPr>
        <w:spacing w:line="240" w:lineRule="auto"/>
        <w:ind w:left="720"/>
        <w:rPr>
          <w:rFonts w:ascii="Tahoma" w:hAnsi="Tahoma" w:cs="Tahoma"/>
          <w:sz w:val="20"/>
          <w:szCs w:val="20"/>
        </w:rPr>
      </w:pPr>
      <w:r w:rsidRPr="00DB024E">
        <w:rPr>
          <w:rFonts w:ascii="Tahoma" w:hAnsi="Tahoma" w:cs="Tahoma"/>
          <w:b/>
          <w:bCs/>
          <w:i/>
          <w:iCs/>
          <w:sz w:val="20"/>
          <w:szCs w:val="20"/>
          <w:lang w:val="es-MX"/>
        </w:rPr>
        <w:t>Sobre la competencia de este Tribunal</w:t>
      </w: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lang w:val="es-MX"/>
        </w:rPr>
        <w:t>Habiéndose determinado que el presente proceso ha sido convocado al amparo del Decreto de Urgencia Nº 078-2009, que establece medidas para agilizar la contratación de bienes, servicios y obras, corresponde determinar la competencia de este Tribunal.</w:t>
      </w:r>
    </w:p>
    <w:p w:rsidR="00DB024E" w:rsidRPr="00DB024E" w:rsidRDefault="00DB024E" w:rsidP="00DB024E">
      <w:pPr>
        <w:spacing w:after="0" w:line="240" w:lineRule="auto"/>
        <w:ind w:left="720"/>
        <w:jc w:val="both"/>
        <w:rPr>
          <w:rFonts w:ascii="Tahoma" w:hAnsi="Tahoma" w:cs="Tahoma"/>
          <w:sz w:val="20"/>
          <w:szCs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lang w:val="es-MX"/>
        </w:rPr>
        <w:t xml:space="preserve">Al efecto, debe tenerse en cuenta que según lo establecido en la Segunda Disposición Complementaria Final del Decreto de Urgencia Nº 078-2009, </w:t>
      </w:r>
      <w:r w:rsidRPr="00DB024E">
        <w:rPr>
          <w:rFonts w:ascii="Tahoma" w:hAnsi="Tahoma" w:cs="Tahoma"/>
          <w:i/>
          <w:iCs/>
          <w:sz w:val="20"/>
          <w:szCs w:val="20"/>
          <w:lang w:val="es-MX"/>
        </w:rPr>
        <w:t xml:space="preserve">en todo lo no regulado en el presente Decreto de Urgencia será de aplicación supletoria lo establecido en el Decreto </w:t>
      </w:r>
      <w:r w:rsidRPr="00DB024E">
        <w:rPr>
          <w:rFonts w:ascii="Tahoma" w:hAnsi="Tahoma" w:cs="Tahoma"/>
          <w:i/>
          <w:iCs/>
          <w:sz w:val="20"/>
          <w:szCs w:val="20"/>
          <w:lang w:val="es-MX"/>
        </w:rPr>
        <w:lastRenderedPageBreak/>
        <w:t>Legislativo Nº 1017, que aprueba la Ley de Contrataciones del Estado, y su Reglamento, aprobado por Decreto Supremo Nº 184-2008-EF y modificatorias.</w:t>
      </w:r>
    </w:p>
    <w:p w:rsidR="00DB024E" w:rsidRPr="00DB024E" w:rsidRDefault="00DB024E" w:rsidP="00DB024E">
      <w:pPr>
        <w:pStyle w:val="Prrafodelista"/>
        <w:rPr>
          <w:rFonts w:ascii="Tahoma" w:hAnsi="Tahoma" w:cs="Tahoma"/>
          <w:sz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lang w:val="es-MX"/>
        </w:rPr>
        <w:t>Siendo que el Decreto de Urgencia Nº 078-2009 no regula la potestad sancionadora ni establece causales de infracción ni sanciones administrativas, corresponde aplicar supletoriamente la Ley de Contrataciones del Estado, aprobada por Decreto Legislativo Nº 1017, en adelante la Ley, y su Reglamento, aprobado por Decreto Supremo Nº 184-2008-EF, en adelante el Reglamento.</w:t>
      </w:r>
    </w:p>
    <w:p w:rsidR="00DB024E" w:rsidRPr="00DB024E" w:rsidRDefault="00DB024E" w:rsidP="00DB024E">
      <w:pPr>
        <w:pStyle w:val="Prrafodelista"/>
        <w:rPr>
          <w:rFonts w:ascii="Tahoma" w:hAnsi="Tahoma" w:cs="Tahoma"/>
          <w:sz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lang w:val="es-MX"/>
        </w:rPr>
        <w:t>Bajo esta óptica, este Tribunal es el órgano que tiene a su cargo el conocimiento y resolución de procedimientos de imposición de sanción de inhabilitación temporal o definitiva, sanción económica, a que se contraen los artículos 51 y 52 de la Ley, a los proveedores, participantes, postores, contratistas, entidades y expertos independientes, según corresponda, por infracciones a las disposiciones contenidas en la Ley y su Reglamento.</w:t>
      </w:r>
    </w:p>
    <w:p w:rsidR="00DB024E" w:rsidRPr="00DB024E" w:rsidRDefault="00DB024E" w:rsidP="00DB024E">
      <w:pPr>
        <w:spacing w:line="240" w:lineRule="auto"/>
        <w:rPr>
          <w:rFonts w:ascii="Tahoma" w:hAnsi="Tahoma" w:cs="Tahoma"/>
          <w:sz w:val="20"/>
          <w:szCs w:val="20"/>
          <w:lang w:val="es-MX"/>
        </w:rPr>
      </w:pPr>
    </w:p>
    <w:p w:rsidR="00DB024E" w:rsidRPr="00DB024E" w:rsidRDefault="00DB024E" w:rsidP="00DB024E">
      <w:pPr>
        <w:spacing w:line="240" w:lineRule="auto"/>
        <w:ind w:left="720"/>
        <w:rPr>
          <w:rFonts w:ascii="Tahoma" w:hAnsi="Tahoma" w:cs="Tahoma"/>
          <w:b/>
          <w:bCs/>
          <w:i/>
          <w:iCs/>
          <w:sz w:val="20"/>
          <w:szCs w:val="20"/>
        </w:rPr>
      </w:pPr>
      <w:r w:rsidRPr="00DB024E">
        <w:rPr>
          <w:rFonts w:ascii="Tahoma" w:hAnsi="Tahoma" w:cs="Tahoma"/>
          <w:b/>
          <w:bCs/>
          <w:i/>
          <w:iCs/>
          <w:sz w:val="20"/>
          <w:szCs w:val="20"/>
        </w:rPr>
        <w:t>Respecto a la eventual responsabilidad del Contratista por la presentación de documentos falsos o inexactos</w:t>
      </w: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 xml:space="preserve">Sobre el particular, el literal i) del artículo 51 de la Ley, </w:t>
      </w:r>
      <w:r>
        <w:rPr>
          <w:rFonts w:ascii="Tahoma" w:hAnsi="Tahoma" w:cs="Tahoma"/>
          <w:sz w:val="20"/>
          <w:szCs w:val="20"/>
        </w:rPr>
        <w:t xml:space="preserve">concordante con el artículo 237º </w:t>
      </w:r>
      <w:r w:rsidRPr="00DB024E">
        <w:rPr>
          <w:rFonts w:ascii="Tahoma" w:hAnsi="Tahoma" w:cs="Tahoma"/>
          <w:sz w:val="20"/>
          <w:szCs w:val="20"/>
        </w:rPr>
        <w:t>del Reglamento establece que los agentes privados de la contratación incurrirán en infracción susceptible de sanción cuando presenten documentos falsos o información inexacta a las Entidades, al Tribunal o al OSCE. Dicha infracción se configura con la sola presentación del documento falso o inexacto, sin que la norma exija otros factores adicionales ; es decir, con la sola afectación del Principio de Presunción de Veracidad</w:t>
      </w:r>
      <w:r w:rsidRPr="00DB024E">
        <w:rPr>
          <w:rStyle w:val="Refdenotaalpie"/>
          <w:rFonts w:ascii="Tahoma" w:hAnsi="Tahoma" w:cs="Tahoma"/>
          <w:sz w:val="20"/>
          <w:szCs w:val="20"/>
        </w:rPr>
        <w:footnoteReference w:id="7"/>
      </w:r>
      <w:r w:rsidRPr="00DB024E">
        <w:rPr>
          <w:rFonts w:ascii="Tahoma" w:hAnsi="Tahoma" w:cs="Tahoma"/>
          <w:sz w:val="20"/>
          <w:szCs w:val="20"/>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DB024E" w:rsidRDefault="00DB024E" w:rsidP="00DB024E">
      <w:pPr>
        <w:spacing w:after="0" w:line="240" w:lineRule="auto"/>
        <w:ind w:left="720"/>
        <w:jc w:val="both"/>
        <w:rPr>
          <w:rFonts w:ascii="Tahoma" w:hAnsi="Tahoma" w:cs="Tahoma"/>
          <w:sz w:val="20"/>
          <w:szCs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 xml:space="preserve">Asimismo, </w:t>
      </w:r>
      <w:r w:rsidRPr="00DB024E">
        <w:rPr>
          <w:rFonts w:ascii="Tahoma" w:hAnsi="Tahoma" w:cs="Tahoma"/>
          <w:sz w:val="20"/>
          <w:szCs w:val="20"/>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DB024E">
        <w:rPr>
          <w:rFonts w:ascii="Tahoma" w:hAnsi="Tahoma" w:cs="Tahoma"/>
          <w:b/>
          <w:bCs/>
          <w:sz w:val="20"/>
          <w:szCs w:val="20"/>
          <w:lang w:val="es-MX"/>
        </w:rPr>
        <w:t>se presumen verificados por quien hace uso de ellos, así como de contenido veraz para fines del procedimiento administrativo</w:t>
      </w:r>
      <w:r w:rsidRPr="00DB024E">
        <w:rPr>
          <w:rFonts w:ascii="Tahoma" w:hAnsi="Tahoma" w:cs="Tahoma"/>
          <w:sz w:val="20"/>
          <w:szCs w:val="20"/>
          <w:lang w:val="es-MX"/>
        </w:rPr>
        <w:t xml:space="preserve">. Sin embargo, esta presunción es de índole </w:t>
      </w:r>
      <w:r w:rsidRPr="00DB024E">
        <w:rPr>
          <w:rFonts w:ascii="Tahoma" w:hAnsi="Tahoma" w:cs="Tahoma"/>
          <w:i/>
          <w:iCs/>
          <w:sz w:val="20"/>
          <w:szCs w:val="20"/>
          <w:lang w:val="es-MX"/>
        </w:rPr>
        <w:t>juris tantum</w:t>
      </w:r>
      <w:r w:rsidRPr="00DB024E">
        <w:rPr>
          <w:rFonts w:ascii="Tahoma" w:hAnsi="Tahoma" w:cs="Tahoma"/>
          <w:sz w:val="20"/>
          <w:szCs w:val="20"/>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6C7735" w:rsidRDefault="006C7735" w:rsidP="006C7735">
      <w:pPr>
        <w:spacing w:after="0" w:line="240" w:lineRule="auto"/>
        <w:ind w:left="720"/>
        <w:jc w:val="both"/>
        <w:rPr>
          <w:rFonts w:ascii="Tahoma" w:hAnsi="Tahoma" w:cs="Tahoma"/>
          <w:sz w:val="20"/>
          <w:szCs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lastRenderedPageBreak/>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DB024E" w:rsidRDefault="00DB024E" w:rsidP="00DB024E">
      <w:pPr>
        <w:spacing w:after="0" w:line="240" w:lineRule="auto"/>
        <w:ind w:left="720"/>
        <w:jc w:val="both"/>
        <w:rPr>
          <w:rFonts w:ascii="Tahoma" w:hAnsi="Tahoma" w:cs="Tahoma"/>
          <w:sz w:val="20"/>
          <w:szCs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 xml:space="preserve">En línea con lo anterior, el literal c) del numeral 1 del artículo 42 del Reglamento establece que los postores y/o contratistas </w:t>
      </w:r>
      <w:r w:rsidRPr="00DB024E">
        <w:rPr>
          <w:rFonts w:ascii="Tahoma" w:hAnsi="Tahoma" w:cs="Tahoma"/>
          <w:b/>
          <w:bCs/>
          <w:sz w:val="20"/>
          <w:szCs w:val="20"/>
        </w:rPr>
        <w:t>son responsables de la veracidad de los documentos e información que presentan para efectos de un proceso de selección determinado</w:t>
      </w:r>
      <w:r w:rsidRPr="00DB024E">
        <w:rPr>
          <w:rFonts w:ascii="Tahoma" w:hAnsi="Tahoma" w:cs="Tahoma"/>
          <w:sz w:val="20"/>
          <w:szCs w:val="20"/>
        </w:rPr>
        <w:t>.</w:t>
      </w:r>
    </w:p>
    <w:p w:rsidR="00DB024E" w:rsidRDefault="00DB024E" w:rsidP="00DB024E">
      <w:pPr>
        <w:spacing w:after="0" w:line="240" w:lineRule="auto"/>
        <w:ind w:left="720"/>
        <w:jc w:val="both"/>
        <w:rPr>
          <w:rFonts w:ascii="Tahoma" w:hAnsi="Tahoma" w:cs="Tahoma"/>
          <w:sz w:val="20"/>
          <w:szCs w:val="20"/>
        </w:rPr>
      </w:pPr>
    </w:p>
    <w:p w:rsidR="00DB024E" w:rsidRPr="00DB024E" w:rsidRDefault="00DB024E" w:rsidP="00DB024E">
      <w:pPr>
        <w:numPr>
          <w:ilvl w:val="0"/>
          <w:numId w:val="4"/>
        </w:numPr>
        <w:spacing w:after="0" w:line="240" w:lineRule="auto"/>
        <w:jc w:val="both"/>
        <w:rPr>
          <w:rFonts w:ascii="Tahoma" w:hAnsi="Tahoma" w:cs="Tahoma"/>
          <w:sz w:val="20"/>
          <w:szCs w:val="20"/>
        </w:rPr>
      </w:pPr>
      <w:r>
        <w:rPr>
          <w:rFonts w:ascii="Tahoma" w:hAnsi="Tahoma" w:cs="Tahoma"/>
          <w:sz w:val="20"/>
          <w:szCs w:val="20"/>
        </w:rPr>
        <w:t>A</w:t>
      </w:r>
      <w:r w:rsidRPr="00DB024E">
        <w:rPr>
          <w:rFonts w:ascii="Tahoma" w:hAnsi="Tahoma" w:cs="Tahoma"/>
          <w:sz w:val="20"/>
          <w:szCs w:val="20"/>
        </w:rPr>
        <w:t xml:space="preserve">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DB024E" w:rsidRPr="00DB024E" w:rsidRDefault="00DB024E" w:rsidP="00DB024E">
      <w:pPr>
        <w:pStyle w:val="Prrafodelista"/>
        <w:rPr>
          <w:rFonts w:ascii="Tahoma" w:hAnsi="Tahoma" w:cs="Tahoma"/>
          <w:sz w:val="20"/>
          <w:lang w:val="es-ES"/>
        </w:rPr>
      </w:pPr>
    </w:p>
    <w:p w:rsidR="00DB024E" w:rsidRPr="00DB024E" w:rsidRDefault="00DB024E" w:rsidP="00DB024E">
      <w:pPr>
        <w:spacing w:line="240" w:lineRule="auto"/>
        <w:ind w:left="720"/>
        <w:jc w:val="both"/>
        <w:rPr>
          <w:rFonts w:ascii="Tahoma" w:hAnsi="Tahoma" w:cs="Tahoma"/>
          <w:i/>
          <w:iCs/>
          <w:sz w:val="20"/>
          <w:szCs w:val="20"/>
          <w:lang w:val="es-PE"/>
        </w:rPr>
      </w:pPr>
      <w:r w:rsidRPr="00DB024E">
        <w:rPr>
          <w:rFonts w:ascii="Tahoma" w:hAnsi="Tahoma" w:cs="Tahoma"/>
          <w:sz w:val="20"/>
          <w:szCs w:val="20"/>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DB024E">
        <w:rPr>
          <w:rFonts w:ascii="Tahoma" w:hAnsi="Tahoma" w:cs="Tahoma"/>
          <w:i/>
          <w:iCs/>
          <w:sz w:val="20"/>
          <w:szCs w:val="20"/>
          <w:lang w:val="es-PE"/>
        </w:rPr>
        <w:t>Principios de Moralidad</w:t>
      </w:r>
      <w:r w:rsidRPr="00DB024E">
        <w:rPr>
          <w:rFonts w:ascii="Tahoma" w:hAnsi="Tahoma" w:cs="Tahoma"/>
          <w:sz w:val="20"/>
          <w:szCs w:val="20"/>
          <w:lang w:val="es-PE"/>
        </w:rPr>
        <w:t xml:space="preserve"> y de </w:t>
      </w:r>
      <w:r w:rsidRPr="00DB024E">
        <w:rPr>
          <w:rFonts w:ascii="Tahoma" w:hAnsi="Tahoma" w:cs="Tahoma"/>
          <w:i/>
          <w:iCs/>
          <w:sz w:val="20"/>
          <w:szCs w:val="20"/>
          <w:lang w:val="es-PE"/>
        </w:rPr>
        <w:t>Presunción de Veracidad.</w:t>
      </w: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 xml:space="preserve">En el caso materia de análisis, la Entidad ha señalado que los siguientes documentos serían falsos: </w:t>
      </w:r>
      <w:r w:rsidRPr="00DB024E">
        <w:rPr>
          <w:rFonts w:ascii="Tahoma" w:hAnsi="Tahoma" w:cs="Tahoma"/>
          <w:color w:val="000000"/>
          <w:sz w:val="20"/>
          <w:szCs w:val="20"/>
          <w:u w:val="single"/>
        </w:rPr>
        <w:t>ORDEN DE COMPRA – GUÍA DE INTERNAMIENTO Nº 00154 de fecha 12.02.2010</w:t>
      </w:r>
      <w:r w:rsidRPr="00DB024E">
        <w:rPr>
          <w:rFonts w:ascii="Tahoma" w:hAnsi="Tahoma" w:cs="Tahoma"/>
          <w:color w:val="000000"/>
          <w:sz w:val="20"/>
          <w:szCs w:val="20"/>
        </w:rPr>
        <w:t xml:space="preserve">, y su respectivo pago mediante </w:t>
      </w:r>
      <w:r w:rsidRPr="00DB024E">
        <w:rPr>
          <w:rFonts w:ascii="Tahoma" w:hAnsi="Tahoma" w:cs="Tahoma"/>
          <w:color w:val="000000"/>
          <w:sz w:val="20"/>
          <w:szCs w:val="20"/>
          <w:u w:val="single"/>
        </w:rPr>
        <w:t>CHEQUE del Banco de la Nación de fecha 03.03.2010</w:t>
      </w:r>
      <w:r w:rsidRPr="00DB024E">
        <w:rPr>
          <w:rFonts w:ascii="Tahoma" w:hAnsi="Tahoma" w:cs="Tahoma"/>
          <w:color w:val="000000"/>
          <w:sz w:val="20"/>
          <w:szCs w:val="20"/>
        </w:rPr>
        <w:t xml:space="preserve"> a la orden de Inversiones Home and Tools E.I.R.L., </w:t>
      </w:r>
      <w:r w:rsidRPr="00DB024E">
        <w:rPr>
          <w:rFonts w:ascii="Tahoma" w:hAnsi="Tahoma" w:cs="Tahoma"/>
          <w:color w:val="000000"/>
          <w:sz w:val="20"/>
          <w:szCs w:val="20"/>
          <w:u w:val="single"/>
        </w:rPr>
        <w:t>ORDEN DE COMPRA – GUÍA DE INTERNAMIENTO Nº 02596</w:t>
      </w:r>
      <w:r w:rsidRPr="00DB024E">
        <w:rPr>
          <w:rFonts w:ascii="Tahoma" w:hAnsi="Tahoma" w:cs="Tahoma"/>
          <w:color w:val="000000"/>
          <w:sz w:val="20"/>
          <w:szCs w:val="20"/>
        </w:rPr>
        <w:t xml:space="preserve"> de fecha 26.11.2009, y su respectivo pago mediante </w:t>
      </w:r>
      <w:r w:rsidRPr="00DB024E">
        <w:rPr>
          <w:rFonts w:ascii="Tahoma" w:hAnsi="Tahoma" w:cs="Tahoma"/>
          <w:color w:val="000000"/>
          <w:sz w:val="20"/>
          <w:szCs w:val="20"/>
          <w:u w:val="single"/>
        </w:rPr>
        <w:t>CHEQUE del Banco de la Nación de fecha 15.12.2009</w:t>
      </w:r>
      <w:r w:rsidRPr="00DB024E">
        <w:rPr>
          <w:rFonts w:ascii="Tahoma" w:hAnsi="Tahoma" w:cs="Tahoma"/>
          <w:color w:val="000000"/>
          <w:sz w:val="20"/>
          <w:szCs w:val="20"/>
        </w:rPr>
        <w:t xml:space="preserve">  a la orden de Inversiones Home and Tools E.I.R.L., y los </w:t>
      </w:r>
      <w:r w:rsidRPr="00DB024E">
        <w:rPr>
          <w:rFonts w:ascii="Tahoma" w:hAnsi="Tahoma" w:cs="Tahoma"/>
          <w:color w:val="000000"/>
          <w:sz w:val="20"/>
          <w:szCs w:val="20"/>
          <w:u w:val="single"/>
        </w:rPr>
        <w:t>CERTIFICADO DE CUMPLIMIENTO de fechas 15.01.2010 y 18.03.2010</w:t>
      </w:r>
      <w:r w:rsidRPr="00DB024E">
        <w:rPr>
          <w:rFonts w:ascii="Tahoma" w:hAnsi="Tahoma" w:cs="Tahoma"/>
          <w:color w:val="000000"/>
          <w:sz w:val="20"/>
          <w:szCs w:val="20"/>
        </w:rPr>
        <w:t xml:space="preserve">, suscritos por la Sra. Marcy Muñoz Correa. </w:t>
      </w:r>
    </w:p>
    <w:p w:rsidR="00DB024E" w:rsidRPr="00DB024E" w:rsidRDefault="00DB024E" w:rsidP="00DB024E">
      <w:pPr>
        <w:spacing w:line="240" w:lineRule="auto"/>
        <w:ind w:left="720"/>
        <w:rPr>
          <w:rFonts w:ascii="Tahoma" w:hAnsi="Tahoma" w:cs="Tahoma"/>
          <w:sz w:val="20"/>
          <w:szCs w:val="20"/>
        </w:rPr>
      </w:pPr>
    </w:p>
    <w:p w:rsidR="00DB024E" w:rsidRPr="00DB024E" w:rsidRDefault="00DB024E" w:rsidP="00DB024E">
      <w:pPr>
        <w:spacing w:line="240" w:lineRule="auto"/>
        <w:ind w:left="708"/>
        <w:rPr>
          <w:rFonts w:ascii="Tahoma" w:hAnsi="Tahoma" w:cs="Tahoma"/>
          <w:sz w:val="20"/>
          <w:szCs w:val="20"/>
        </w:rPr>
      </w:pPr>
      <w:r w:rsidRPr="00DB024E">
        <w:rPr>
          <w:rFonts w:ascii="Tahoma" w:hAnsi="Tahoma" w:cs="Tahoma"/>
          <w:sz w:val="20"/>
          <w:szCs w:val="20"/>
        </w:rPr>
        <w:t>Al respecto, debe indicarse que los referidos documentos fueron presentados por el Postor para acreditar experiencia durante el proceso de selección.</w:t>
      </w: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 xml:space="preserve">En ese sentido, una primera circunstancia a analizar, es la relacionada con la presunta falsedad del documento en cuestión. Para que dicha falsedad se verifique, constituye mérito suficiente la manifestación efectuada por el propio agente emisor o beneficiario del servicio y/o adquisición, a través de una comunicación oficial, acreditando que el documento cuestionado no ha sido expedido por éste o que siendo válidamente expedido ha sufrido adulteración en su contenido, criterio que ha sido recogido por el Tribunal en anteriores oportunidades. </w:t>
      </w:r>
    </w:p>
    <w:p w:rsidR="00DB024E" w:rsidRDefault="00DB024E" w:rsidP="00DB024E">
      <w:pPr>
        <w:spacing w:after="0" w:line="240" w:lineRule="auto"/>
        <w:ind w:left="720"/>
        <w:jc w:val="both"/>
        <w:rPr>
          <w:rFonts w:ascii="Tahoma" w:hAnsi="Tahoma" w:cs="Tahoma"/>
          <w:sz w:val="20"/>
          <w:szCs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 xml:space="preserve">A fin de dilucidar este asunto, en virtud al </w:t>
      </w:r>
      <w:r w:rsidRPr="00DB024E">
        <w:rPr>
          <w:rFonts w:ascii="Tahoma" w:hAnsi="Tahoma" w:cs="Tahoma"/>
          <w:i/>
          <w:iCs/>
          <w:sz w:val="20"/>
          <w:szCs w:val="20"/>
        </w:rPr>
        <w:t xml:space="preserve">Principio de Privilegio de Controles Posteriores, </w:t>
      </w:r>
      <w:r w:rsidRPr="00DB024E">
        <w:rPr>
          <w:rFonts w:ascii="Tahoma" w:hAnsi="Tahoma" w:cs="Tahoma"/>
          <w:sz w:val="20"/>
          <w:szCs w:val="20"/>
        </w:rPr>
        <w:t>contemplado en el numeral 1.16 del Artículo IV del Título Preliminar de la Ley N.° 27444</w:t>
      </w:r>
      <w:r w:rsidRPr="00DB024E">
        <w:rPr>
          <w:rStyle w:val="Refdenotaalpie"/>
          <w:rFonts w:ascii="Tahoma" w:hAnsi="Tahoma" w:cs="Tahoma"/>
          <w:sz w:val="20"/>
          <w:szCs w:val="20"/>
        </w:rPr>
        <w:footnoteReference w:id="8"/>
      </w:r>
      <w:r w:rsidRPr="00DB024E">
        <w:rPr>
          <w:rFonts w:ascii="Tahoma" w:hAnsi="Tahoma" w:cs="Tahoma"/>
          <w:sz w:val="20"/>
          <w:szCs w:val="20"/>
        </w:rPr>
        <w:t>,  la Entidad solicitó a la Municipal Provincial de Huancayo, brinde su conformidad a los documentos antes cuestionados.</w:t>
      </w:r>
    </w:p>
    <w:p w:rsidR="00DB024E" w:rsidRPr="00DB024E" w:rsidRDefault="00DB024E" w:rsidP="00DB024E">
      <w:pPr>
        <w:pStyle w:val="Prrafodelista"/>
        <w:rPr>
          <w:rFonts w:ascii="Tahoma" w:hAnsi="Tahoma" w:cs="Tahoma"/>
          <w:sz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En atención a la solicitud realizada por la Entidad, con Oficio Nº 03-2011-MPH-GA-SGLOG de fecha 28 de febrero de 2011, la Municipalidad de Huancayo manifestó lo siguiente</w:t>
      </w:r>
      <w:r w:rsidRPr="00DB024E">
        <w:rPr>
          <w:rFonts w:ascii="Tahoma" w:hAnsi="Tahoma" w:cs="Tahoma"/>
          <w:i/>
          <w:iCs/>
          <w:sz w:val="20"/>
          <w:szCs w:val="20"/>
        </w:rPr>
        <w:t xml:space="preserve">: </w:t>
      </w:r>
    </w:p>
    <w:p w:rsidR="00DB024E" w:rsidRDefault="00DB024E" w:rsidP="00DB024E">
      <w:pPr>
        <w:pStyle w:val="Prrafodelista"/>
        <w:rPr>
          <w:rFonts w:ascii="Tahoma" w:hAnsi="Tahoma" w:cs="Tahoma"/>
          <w:i/>
          <w:iCs/>
          <w:sz w:val="18"/>
          <w:szCs w:val="18"/>
        </w:rPr>
      </w:pPr>
    </w:p>
    <w:p w:rsidR="006C7735" w:rsidRDefault="006C7735" w:rsidP="00DB024E">
      <w:pPr>
        <w:pStyle w:val="Prrafodelista"/>
        <w:rPr>
          <w:rFonts w:ascii="Tahoma" w:hAnsi="Tahoma" w:cs="Tahoma"/>
          <w:i/>
          <w:iCs/>
          <w:sz w:val="18"/>
          <w:szCs w:val="18"/>
        </w:rPr>
      </w:pPr>
    </w:p>
    <w:p w:rsidR="006C7735" w:rsidRPr="00DB024E" w:rsidRDefault="006C7735" w:rsidP="00DB024E">
      <w:pPr>
        <w:pStyle w:val="Prrafodelista"/>
        <w:rPr>
          <w:rFonts w:ascii="Tahoma" w:hAnsi="Tahoma" w:cs="Tahoma"/>
          <w:i/>
          <w:iCs/>
          <w:sz w:val="18"/>
          <w:szCs w:val="18"/>
        </w:rPr>
      </w:pPr>
    </w:p>
    <w:p w:rsidR="00DB024E" w:rsidRPr="00DB024E" w:rsidRDefault="00DB024E" w:rsidP="00DB024E">
      <w:pPr>
        <w:spacing w:line="240" w:lineRule="auto"/>
        <w:ind w:left="720"/>
        <w:rPr>
          <w:rFonts w:ascii="Tahoma" w:hAnsi="Tahoma" w:cs="Tahoma"/>
          <w:i/>
          <w:iCs/>
          <w:sz w:val="18"/>
          <w:szCs w:val="18"/>
        </w:rPr>
      </w:pPr>
      <w:r w:rsidRPr="00DB024E">
        <w:rPr>
          <w:rFonts w:ascii="Tahoma" w:hAnsi="Tahoma" w:cs="Tahoma"/>
          <w:i/>
          <w:iCs/>
          <w:sz w:val="18"/>
          <w:szCs w:val="18"/>
        </w:rPr>
        <w:t xml:space="preserve">“(…) </w:t>
      </w:r>
    </w:p>
    <w:p w:rsidR="00DB024E" w:rsidRPr="00DB024E" w:rsidRDefault="00DB024E" w:rsidP="00DB024E">
      <w:pPr>
        <w:pStyle w:val="Prrafodelista"/>
        <w:widowControl/>
        <w:numPr>
          <w:ilvl w:val="0"/>
          <w:numId w:val="8"/>
        </w:numPr>
        <w:suppressAutoHyphens w:val="0"/>
        <w:jc w:val="both"/>
        <w:rPr>
          <w:rFonts w:ascii="Tahoma" w:hAnsi="Tahoma" w:cs="Tahoma"/>
          <w:i/>
          <w:iCs/>
          <w:sz w:val="18"/>
          <w:szCs w:val="18"/>
        </w:rPr>
      </w:pPr>
      <w:r w:rsidRPr="00DB024E">
        <w:rPr>
          <w:rFonts w:ascii="Tahoma" w:hAnsi="Tahoma" w:cs="Tahoma"/>
          <w:i/>
          <w:iCs/>
          <w:sz w:val="18"/>
          <w:szCs w:val="18"/>
        </w:rPr>
        <w:t>Orden de compra – Guía de Internamiento Nº 00154 de fecha 12 de febrero de 2010 por el importe de S/. 1,020.00 nuevos Soles”.</w:t>
      </w:r>
    </w:p>
    <w:p w:rsidR="00DB024E" w:rsidRPr="00DB024E" w:rsidRDefault="00DB024E" w:rsidP="00DB024E">
      <w:pPr>
        <w:pStyle w:val="Prrafodelista"/>
        <w:ind w:left="1440"/>
        <w:rPr>
          <w:rFonts w:ascii="Tahoma" w:hAnsi="Tahoma" w:cs="Tahoma"/>
          <w:i/>
          <w:iCs/>
          <w:sz w:val="18"/>
          <w:szCs w:val="18"/>
        </w:rPr>
      </w:pPr>
    </w:p>
    <w:p w:rsidR="00DB024E" w:rsidRPr="00DB024E" w:rsidRDefault="00DB024E" w:rsidP="00DB024E">
      <w:pPr>
        <w:pStyle w:val="Prrafodelista"/>
        <w:widowControl/>
        <w:numPr>
          <w:ilvl w:val="0"/>
          <w:numId w:val="8"/>
        </w:numPr>
        <w:suppressAutoHyphens w:val="0"/>
        <w:jc w:val="both"/>
        <w:rPr>
          <w:rFonts w:ascii="Tahoma" w:hAnsi="Tahoma" w:cs="Tahoma"/>
          <w:i/>
          <w:iCs/>
          <w:sz w:val="18"/>
          <w:szCs w:val="18"/>
        </w:rPr>
      </w:pPr>
      <w:r w:rsidRPr="00DB024E">
        <w:rPr>
          <w:rFonts w:ascii="Tahoma" w:hAnsi="Tahoma" w:cs="Tahoma"/>
          <w:i/>
          <w:iCs/>
          <w:sz w:val="18"/>
          <w:szCs w:val="18"/>
        </w:rPr>
        <w:t>Orden de Compra – Guía de internamiento Nº 002596 de fecha 26 de noviembre de 2009 por el importe de S/. 427.50 Nuevos soles.</w:t>
      </w:r>
    </w:p>
    <w:p w:rsidR="00DB024E" w:rsidRPr="00DB024E" w:rsidRDefault="00DB024E" w:rsidP="00DB024E">
      <w:pPr>
        <w:spacing w:line="240" w:lineRule="auto"/>
        <w:ind w:left="720"/>
        <w:rPr>
          <w:rFonts w:ascii="Tahoma" w:hAnsi="Tahoma" w:cs="Tahoma"/>
          <w:i/>
          <w:iCs/>
          <w:sz w:val="18"/>
          <w:szCs w:val="18"/>
        </w:rPr>
      </w:pPr>
    </w:p>
    <w:p w:rsidR="00DB024E" w:rsidRPr="00DB024E" w:rsidRDefault="00DB024E" w:rsidP="00DB024E">
      <w:pPr>
        <w:spacing w:line="240" w:lineRule="auto"/>
        <w:ind w:left="720"/>
        <w:rPr>
          <w:rFonts w:ascii="Tahoma" w:hAnsi="Tahoma" w:cs="Tahoma"/>
          <w:i/>
          <w:iCs/>
          <w:sz w:val="18"/>
          <w:szCs w:val="18"/>
        </w:rPr>
      </w:pPr>
      <w:r w:rsidRPr="00DB024E">
        <w:rPr>
          <w:rFonts w:ascii="Tahoma" w:hAnsi="Tahoma" w:cs="Tahoma"/>
          <w:i/>
          <w:iCs/>
          <w:sz w:val="18"/>
          <w:szCs w:val="18"/>
        </w:rPr>
        <w:t>Asimismo, se hace de conocimiento que la Ing. Marcy Elena Muñoz Correa – Ex Sub Gerente de Logística ostentó dicho cargo en el periodo 2003-2006.</w:t>
      </w:r>
    </w:p>
    <w:p w:rsidR="00DB024E" w:rsidRPr="00DB024E" w:rsidRDefault="00DB024E" w:rsidP="00DB024E">
      <w:pPr>
        <w:spacing w:line="240" w:lineRule="auto"/>
        <w:ind w:left="720"/>
        <w:rPr>
          <w:rFonts w:ascii="Tahoma" w:hAnsi="Tahoma" w:cs="Tahoma"/>
          <w:i/>
          <w:iCs/>
          <w:sz w:val="18"/>
          <w:szCs w:val="18"/>
        </w:rPr>
      </w:pPr>
      <w:r w:rsidRPr="00DB024E">
        <w:rPr>
          <w:rFonts w:ascii="Tahoma" w:hAnsi="Tahoma" w:cs="Tahoma"/>
          <w:i/>
          <w:iCs/>
          <w:sz w:val="18"/>
          <w:szCs w:val="18"/>
        </w:rPr>
        <w:t xml:space="preserve">Por lo que los documentos adjuntos a su solicitud han sido adulterados en su contenido (…)” </w:t>
      </w:r>
    </w:p>
    <w:p w:rsidR="00DB024E" w:rsidRPr="00DB024E" w:rsidRDefault="00DB024E" w:rsidP="00DB024E">
      <w:pPr>
        <w:pStyle w:val="Prrafodelista"/>
        <w:rPr>
          <w:rFonts w:ascii="Tahoma" w:hAnsi="Tahoma" w:cs="Tahoma"/>
          <w:sz w:val="20"/>
          <w:lang w:val="es-ES"/>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Conforme a lo expuesto, ha quedado acreditado los siguientes hechos:</w:t>
      </w:r>
    </w:p>
    <w:p w:rsidR="00DB024E" w:rsidRDefault="00DB024E" w:rsidP="00DB024E">
      <w:pPr>
        <w:pStyle w:val="Prrafodelista"/>
        <w:widowControl/>
        <w:suppressAutoHyphens w:val="0"/>
        <w:ind w:left="1440"/>
        <w:jc w:val="both"/>
        <w:rPr>
          <w:rFonts w:ascii="Tahoma" w:hAnsi="Tahoma" w:cs="Tahoma"/>
          <w:b/>
          <w:bCs/>
          <w:i/>
          <w:iCs/>
          <w:sz w:val="20"/>
        </w:rPr>
      </w:pPr>
    </w:p>
    <w:p w:rsidR="00DB024E" w:rsidRPr="00DB024E" w:rsidRDefault="00DB024E" w:rsidP="00DB024E">
      <w:pPr>
        <w:pStyle w:val="Prrafodelista"/>
        <w:widowControl/>
        <w:numPr>
          <w:ilvl w:val="0"/>
          <w:numId w:val="9"/>
        </w:numPr>
        <w:suppressAutoHyphens w:val="0"/>
        <w:jc w:val="both"/>
        <w:rPr>
          <w:rFonts w:ascii="Tahoma" w:hAnsi="Tahoma" w:cs="Tahoma"/>
          <w:b/>
          <w:bCs/>
          <w:i/>
          <w:iCs/>
          <w:sz w:val="20"/>
        </w:rPr>
      </w:pPr>
      <w:r w:rsidRPr="00DB024E">
        <w:rPr>
          <w:rFonts w:ascii="Tahoma" w:hAnsi="Tahoma" w:cs="Tahoma"/>
          <w:b/>
          <w:bCs/>
          <w:i/>
          <w:iCs/>
          <w:sz w:val="20"/>
        </w:rPr>
        <w:t xml:space="preserve">Respecto a la </w:t>
      </w:r>
      <w:r w:rsidRPr="00DB024E">
        <w:rPr>
          <w:rFonts w:ascii="Tahoma" w:hAnsi="Tahoma" w:cs="Tahoma"/>
          <w:b/>
          <w:bCs/>
          <w:i/>
          <w:iCs/>
          <w:color w:val="000000"/>
          <w:sz w:val="20"/>
          <w:u w:val="single"/>
        </w:rPr>
        <w:t>ORDEN DE COMPRA – GUÍA DE INTERNAMIENTO Nº 00154 de fecha 12.02.2010</w:t>
      </w:r>
      <w:r w:rsidRPr="00DB024E">
        <w:rPr>
          <w:rFonts w:ascii="Tahoma" w:hAnsi="Tahoma" w:cs="Tahoma"/>
          <w:b/>
          <w:bCs/>
          <w:i/>
          <w:iCs/>
          <w:color w:val="000000"/>
          <w:sz w:val="20"/>
        </w:rPr>
        <w:t xml:space="preserve">, por el monto ascendente a S/. 9, 900.00 Nuevos Soles;  y su respectivo pago mediante </w:t>
      </w:r>
      <w:r w:rsidRPr="00DB024E">
        <w:rPr>
          <w:rFonts w:ascii="Tahoma" w:hAnsi="Tahoma" w:cs="Tahoma"/>
          <w:b/>
          <w:bCs/>
          <w:i/>
          <w:iCs/>
          <w:color w:val="000000"/>
          <w:sz w:val="20"/>
          <w:u w:val="single"/>
        </w:rPr>
        <w:t>CHEQUE del Banco de la Nación de fecha 03.03.2010</w:t>
      </w:r>
      <w:r w:rsidRPr="00DB024E">
        <w:rPr>
          <w:rFonts w:ascii="Tahoma" w:hAnsi="Tahoma" w:cs="Tahoma"/>
          <w:b/>
          <w:bCs/>
          <w:i/>
          <w:iCs/>
          <w:color w:val="000000"/>
          <w:sz w:val="20"/>
        </w:rPr>
        <w:t>.</w:t>
      </w:r>
    </w:p>
    <w:p w:rsidR="00DB024E" w:rsidRPr="00DB024E" w:rsidRDefault="00DB024E" w:rsidP="00DB024E">
      <w:pPr>
        <w:pStyle w:val="Prrafodelista"/>
        <w:ind w:left="1440"/>
        <w:rPr>
          <w:rFonts w:ascii="Tahoma" w:hAnsi="Tahoma" w:cs="Tahoma"/>
          <w:b/>
          <w:bCs/>
          <w:i/>
          <w:iCs/>
          <w:sz w:val="20"/>
        </w:rPr>
      </w:pPr>
    </w:p>
    <w:p w:rsidR="00DB024E" w:rsidRPr="00DB024E" w:rsidRDefault="00DB024E" w:rsidP="00DB024E">
      <w:pPr>
        <w:pStyle w:val="Prrafodelista"/>
        <w:ind w:left="1440"/>
        <w:rPr>
          <w:rFonts w:ascii="Tahoma" w:hAnsi="Tahoma" w:cs="Tahoma"/>
          <w:sz w:val="20"/>
        </w:rPr>
      </w:pPr>
      <w:r w:rsidRPr="00DB024E">
        <w:rPr>
          <w:rFonts w:ascii="Tahoma" w:hAnsi="Tahoma" w:cs="Tahoma"/>
          <w:sz w:val="20"/>
        </w:rPr>
        <w:t>Se ha acreditado la falsedad de los referidos documentos cuestionados, puesto que según lo informado por la Municipalidad de Huancayo,  de la revisión a la documentación obrante en su archivo, y cuya copia adjuntó</w:t>
      </w:r>
      <w:r w:rsidRPr="00DB024E">
        <w:rPr>
          <w:rStyle w:val="Refdenotaalpie"/>
          <w:rFonts w:ascii="Tahoma" w:hAnsi="Tahoma" w:cs="Tahoma"/>
          <w:sz w:val="20"/>
        </w:rPr>
        <w:footnoteReference w:id="9"/>
      </w:r>
      <w:r w:rsidRPr="00DB024E">
        <w:rPr>
          <w:rFonts w:ascii="Tahoma" w:hAnsi="Tahoma" w:cs="Tahoma"/>
          <w:sz w:val="20"/>
        </w:rPr>
        <w:t xml:space="preserve">, la referida orden de compra fue emitida por un monto ascendente a S/. 1,020.00 nuevos soles y no como se indicó en el documento denunciado por S/. 9,900.00 nuevos Soles, por tal motivo, no sólo se corrobora la falsedad del documento obrante en la propuesta, sino también la falsedad del </w:t>
      </w:r>
      <w:r w:rsidRPr="00DB024E">
        <w:rPr>
          <w:rFonts w:ascii="Tahoma" w:hAnsi="Tahoma" w:cs="Tahoma"/>
          <w:color w:val="000000"/>
          <w:sz w:val="20"/>
        </w:rPr>
        <w:t>CHEQUE del Banco de la Nación de fecha 03.03.2010, mediante el cual se habría acreditado dicho pago.</w:t>
      </w:r>
    </w:p>
    <w:p w:rsidR="00DB024E" w:rsidRPr="00DB024E" w:rsidRDefault="00DB024E" w:rsidP="00DB024E">
      <w:pPr>
        <w:pStyle w:val="Prrafodelista"/>
        <w:ind w:left="1440"/>
        <w:rPr>
          <w:rFonts w:ascii="Tahoma" w:hAnsi="Tahoma" w:cs="Tahoma"/>
          <w:b/>
          <w:bCs/>
          <w:i/>
          <w:iCs/>
          <w:sz w:val="20"/>
        </w:rPr>
      </w:pPr>
    </w:p>
    <w:p w:rsidR="00DB024E" w:rsidRPr="00DB024E" w:rsidRDefault="00DB024E" w:rsidP="00DB024E">
      <w:pPr>
        <w:pStyle w:val="Prrafodelista"/>
        <w:widowControl/>
        <w:numPr>
          <w:ilvl w:val="0"/>
          <w:numId w:val="9"/>
        </w:numPr>
        <w:suppressAutoHyphens w:val="0"/>
        <w:jc w:val="both"/>
        <w:rPr>
          <w:rFonts w:ascii="Tahoma" w:hAnsi="Tahoma" w:cs="Tahoma"/>
          <w:b/>
          <w:bCs/>
          <w:i/>
          <w:iCs/>
          <w:sz w:val="20"/>
        </w:rPr>
      </w:pPr>
      <w:r w:rsidRPr="00DB024E">
        <w:rPr>
          <w:rFonts w:ascii="Tahoma" w:hAnsi="Tahoma" w:cs="Tahoma"/>
          <w:b/>
          <w:bCs/>
          <w:i/>
          <w:iCs/>
          <w:color w:val="000000"/>
          <w:sz w:val="20"/>
          <w:u w:val="single"/>
        </w:rPr>
        <w:t>Respecto a la ORDEN DE COMPRA – GUÍA DE INTERNAMIENTO Nº 02596</w:t>
      </w:r>
      <w:r w:rsidRPr="00DB024E">
        <w:rPr>
          <w:rFonts w:ascii="Tahoma" w:hAnsi="Tahoma" w:cs="Tahoma"/>
          <w:b/>
          <w:bCs/>
          <w:i/>
          <w:iCs/>
          <w:color w:val="000000"/>
          <w:sz w:val="20"/>
        </w:rPr>
        <w:t xml:space="preserve"> de fecha 26.11.2009, y su respectivo pago mediante </w:t>
      </w:r>
      <w:r w:rsidRPr="00DB024E">
        <w:rPr>
          <w:rFonts w:ascii="Tahoma" w:hAnsi="Tahoma" w:cs="Tahoma"/>
          <w:b/>
          <w:bCs/>
          <w:i/>
          <w:iCs/>
          <w:color w:val="000000"/>
          <w:sz w:val="20"/>
          <w:u w:val="single"/>
        </w:rPr>
        <w:t>CHEQUE del Banco de la Nación de fecha 15.12.2009</w:t>
      </w:r>
      <w:r w:rsidRPr="00DB024E">
        <w:rPr>
          <w:rFonts w:ascii="Tahoma" w:hAnsi="Tahoma" w:cs="Tahoma"/>
          <w:b/>
          <w:bCs/>
          <w:i/>
          <w:iCs/>
          <w:color w:val="000000"/>
          <w:sz w:val="20"/>
        </w:rPr>
        <w:t xml:space="preserve">  </w:t>
      </w:r>
    </w:p>
    <w:p w:rsidR="00DB024E" w:rsidRPr="00DB024E" w:rsidRDefault="00DB024E" w:rsidP="00DB024E">
      <w:pPr>
        <w:pStyle w:val="Prrafodelista"/>
        <w:ind w:left="1440"/>
        <w:rPr>
          <w:rFonts w:ascii="Tahoma" w:hAnsi="Tahoma" w:cs="Tahoma"/>
          <w:b/>
          <w:bCs/>
          <w:i/>
          <w:iCs/>
          <w:sz w:val="20"/>
        </w:rPr>
      </w:pPr>
    </w:p>
    <w:p w:rsidR="00DB024E" w:rsidRPr="00DB024E" w:rsidRDefault="00DB024E" w:rsidP="00DB024E">
      <w:pPr>
        <w:pStyle w:val="Prrafodelista"/>
        <w:ind w:left="1440"/>
        <w:rPr>
          <w:rFonts w:ascii="Tahoma" w:hAnsi="Tahoma" w:cs="Tahoma"/>
          <w:sz w:val="20"/>
        </w:rPr>
      </w:pPr>
      <w:r w:rsidRPr="00DB024E">
        <w:rPr>
          <w:rFonts w:ascii="Tahoma" w:hAnsi="Tahoma" w:cs="Tahoma"/>
          <w:sz w:val="20"/>
        </w:rPr>
        <w:t>De similar razonamiento al punto anterior, debe indicarse que de la revisión a la documentación obrante en su archivo, y cuya copia la Municipalidad remitió</w:t>
      </w:r>
      <w:r w:rsidRPr="00DB024E">
        <w:rPr>
          <w:rStyle w:val="Refdenotaalpie"/>
          <w:rFonts w:ascii="Tahoma" w:hAnsi="Tahoma" w:cs="Tahoma"/>
          <w:sz w:val="20"/>
        </w:rPr>
        <w:footnoteReference w:id="10"/>
      </w:r>
      <w:r w:rsidRPr="00DB024E">
        <w:rPr>
          <w:rFonts w:ascii="Tahoma" w:hAnsi="Tahoma" w:cs="Tahoma"/>
          <w:sz w:val="20"/>
        </w:rPr>
        <w:t xml:space="preserve">, la referida orden de compra fue emitida por un monto ascendente a S/. 427.50 nuevos soles y no como se indicó en el documento denunciado por S/. 17, 272.00 nuevos Soles, por tal motivo, no sólo se corrobora la falsedad del documento obrante en la propuesta, sino también la falsedad del </w:t>
      </w:r>
      <w:r w:rsidRPr="00DB024E">
        <w:rPr>
          <w:rFonts w:ascii="Tahoma" w:hAnsi="Tahoma" w:cs="Tahoma"/>
          <w:color w:val="000000"/>
          <w:sz w:val="20"/>
        </w:rPr>
        <w:t>CHEQUE del Banco de la Nación de fecha 15.12.2009, mediante el cual se habría acreditado dicho pago, pues el mismo nunca se realizó.</w:t>
      </w:r>
    </w:p>
    <w:p w:rsidR="00DB024E" w:rsidRPr="00DB024E" w:rsidRDefault="00DB024E" w:rsidP="00DB024E">
      <w:pPr>
        <w:pStyle w:val="Prrafodelista"/>
        <w:ind w:left="1440"/>
        <w:rPr>
          <w:rFonts w:ascii="Tahoma" w:hAnsi="Tahoma" w:cs="Tahoma"/>
          <w:b/>
          <w:bCs/>
          <w:i/>
          <w:iCs/>
          <w:sz w:val="20"/>
        </w:rPr>
      </w:pPr>
    </w:p>
    <w:p w:rsidR="00DB024E" w:rsidRPr="00DB024E" w:rsidRDefault="00DB024E" w:rsidP="00DB024E">
      <w:pPr>
        <w:pStyle w:val="Prrafodelista"/>
        <w:widowControl/>
        <w:numPr>
          <w:ilvl w:val="0"/>
          <w:numId w:val="9"/>
        </w:numPr>
        <w:suppressAutoHyphens w:val="0"/>
        <w:jc w:val="both"/>
        <w:rPr>
          <w:rFonts w:ascii="Tahoma" w:hAnsi="Tahoma" w:cs="Tahoma"/>
          <w:b/>
          <w:bCs/>
          <w:i/>
          <w:iCs/>
          <w:sz w:val="20"/>
        </w:rPr>
      </w:pPr>
      <w:r w:rsidRPr="00DB024E">
        <w:rPr>
          <w:rFonts w:ascii="Tahoma" w:hAnsi="Tahoma" w:cs="Tahoma"/>
          <w:b/>
          <w:bCs/>
          <w:i/>
          <w:iCs/>
          <w:color w:val="000000"/>
          <w:sz w:val="20"/>
          <w:u w:val="single"/>
        </w:rPr>
        <w:t>Respecto a los CERTIFICADOS DE CUMPLIMIENTO de fechas 15.01.2010 y 18.03.2010</w:t>
      </w:r>
      <w:r w:rsidRPr="00DB024E">
        <w:rPr>
          <w:rFonts w:ascii="Tahoma" w:hAnsi="Tahoma" w:cs="Tahoma"/>
          <w:b/>
          <w:bCs/>
          <w:i/>
          <w:iCs/>
          <w:color w:val="000000"/>
          <w:sz w:val="20"/>
        </w:rPr>
        <w:t>, suscritos por la Sra. Marcy Muñoz Correa.</w:t>
      </w:r>
    </w:p>
    <w:p w:rsidR="00DB024E" w:rsidRPr="00DB024E" w:rsidRDefault="00DB024E" w:rsidP="00DB024E">
      <w:pPr>
        <w:pStyle w:val="Prrafodelista"/>
        <w:ind w:left="1440"/>
        <w:rPr>
          <w:rFonts w:ascii="Tahoma" w:hAnsi="Tahoma" w:cs="Tahoma"/>
          <w:b/>
          <w:bCs/>
          <w:i/>
          <w:iCs/>
          <w:color w:val="000000"/>
          <w:sz w:val="20"/>
          <w:u w:val="single"/>
        </w:rPr>
      </w:pPr>
    </w:p>
    <w:p w:rsidR="00DB024E" w:rsidRPr="00DB024E" w:rsidRDefault="00DB024E" w:rsidP="00DB024E">
      <w:pPr>
        <w:pStyle w:val="Prrafodelista"/>
        <w:ind w:left="1440"/>
        <w:rPr>
          <w:rFonts w:ascii="Tahoma" w:hAnsi="Tahoma" w:cs="Tahoma"/>
          <w:sz w:val="20"/>
        </w:rPr>
      </w:pPr>
      <w:r w:rsidRPr="00DB024E">
        <w:rPr>
          <w:rFonts w:ascii="Tahoma" w:hAnsi="Tahoma" w:cs="Tahoma"/>
          <w:color w:val="000000"/>
          <w:sz w:val="20"/>
        </w:rPr>
        <w:t xml:space="preserve">En relación al cuestionamiento a ambos documentos, en los cuales se indicó que el Postor había suministrado materiales de ferretería de emulsión asfáltica, la Entidad señaló que </w:t>
      </w:r>
      <w:r w:rsidRPr="00DB024E">
        <w:rPr>
          <w:rFonts w:ascii="Tahoma" w:hAnsi="Tahoma" w:cs="Tahoma"/>
          <w:sz w:val="20"/>
        </w:rPr>
        <w:t xml:space="preserve">la Ing. Marcy Elena Muñoz Correa – Ex Sub Gerente de Logística, ostentó dicho cargo en el periodo 2003-2006, por lo que en la fecha de emisión de las referidas constancias, </w:t>
      </w:r>
      <w:r w:rsidRPr="00DB024E">
        <w:rPr>
          <w:rFonts w:ascii="Tahoma" w:hAnsi="Tahoma" w:cs="Tahoma"/>
          <w:color w:val="000000"/>
          <w:sz w:val="20"/>
        </w:rPr>
        <w:t>15.01.2010 y 18.03.2010, resultaría materialmente imposible que haya otorgado tal conformidad, puesto que no laboraba en la Entidad con el cargo antes señalado, razón por la cual se corrobora la falsedad de los referidos documentos.</w:t>
      </w:r>
    </w:p>
    <w:p w:rsidR="00DB024E" w:rsidRPr="00DB024E" w:rsidRDefault="00DB024E" w:rsidP="00DB024E">
      <w:pPr>
        <w:pStyle w:val="Prrafodelista"/>
        <w:ind w:left="1440"/>
        <w:rPr>
          <w:rFonts w:ascii="Tahoma" w:hAnsi="Tahoma" w:cs="Tahoma"/>
          <w:sz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En virtud a la información proporcionada por la Municipalidad de Huancayo, este Colegiado ha podido constatar que el postor presentó documentación falsa en su propuesta técnica, razón por la cual se configura la causal tipificada como sancionable.</w:t>
      </w:r>
    </w:p>
    <w:p w:rsidR="00DB024E" w:rsidRDefault="00DB024E" w:rsidP="00DB024E">
      <w:pPr>
        <w:spacing w:after="0" w:line="240" w:lineRule="auto"/>
        <w:ind w:left="720"/>
        <w:jc w:val="both"/>
        <w:rPr>
          <w:rFonts w:ascii="Tahoma" w:hAnsi="Tahoma" w:cs="Tahoma"/>
          <w:sz w:val="20"/>
          <w:szCs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 xml:space="preserve"> Por ende, considerando que el Contratista, no ha efectuado descargo alguno durante la tramitación del presente procedimiento administrativo sancionador, no obstante haber sido debidamente notificado mediante Cédula de Notificación Nº 9329/2011.TC el 13.04.2011, este Tribunal concluye que corresponde imponerle sanción administrativa por los hechos denunciados.</w:t>
      </w:r>
    </w:p>
    <w:p w:rsidR="00DB024E" w:rsidRDefault="00DB024E" w:rsidP="00DB024E">
      <w:pPr>
        <w:spacing w:after="0" w:line="240" w:lineRule="auto"/>
        <w:ind w:left="720"/>
        <w:jc w:val="both"/>
        <w:rPr>
          <w:rFonts w:ascii="Tahoma" w:hAnsi="Tahoma" w:cs="Tahoma"/>
          <w:sz w:val="20"/>
          <w:szCs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 xml:space="preserve">En consecuencia, la conducta del Contratista supone una trasgresión del </w:t>
      </w:r>
      <w:r w:rsidRPr="00DB024E">
        <w:rPr>
          <w:rFonts w:ascii="Tahoma" w:hAnsi="Tahoma" w:cs="Tahoma"/>
          <w:i/>
          <w:iCs/>
          <w:sz w:val="20"/>
          <w:szCs w:val="20"/>
        </w:rPr>
        <w:t>principio de presunción de veracidad</w:t>
      </w:r>
      <w:r w:rsidRPr="00DB024E">
        <w:rPr>
          <w:rFonts w:ascii="Tahoma" w:hAnsi="Tahoma" w:cs="Tahoma"/>
          <w:sz w:val="20"/>
          <w:szCs w:val="20"/>
        </w:rPr>
        <w:t>,  en vista que, si bien a través de dicho principio la Administración Pública se encuentra en el deber de presumir como veraces los documentos presentados por el administrado, esta situación ha quedado desvirtuada desde el momento en que se ha verificado que el documento cuestionado es falso.</w:t>
      </w:r>
    </w:p>
    <w:p w:rsidR="00DB024E" w:rsidRPr="00DB024E" w:rsidRDefault="00DB024E" w:rsidP="00DB024E">
      <w:pPr>
        <w:spacing w:after="0" w:line="240" w:lineRule="auto"/>
        <w:ind w:left="720"/>
        <w:jc w:val="both"/>
        <w:rPr>
          <w:rFonts w:ascii="Tahoma" w:hAnsi="Tahoma" w:cs="Tahoma"/>
          <w:b/>
          <w:bCs/>
          <w:sz w:val="20"/>
          <w:szCs w:val="20"/>
        </w:rPr>
      </w:pPr>
    </w:p>
    <w:p w:rsidR="00DB024E" w:rsidRPr="00DB024E" w:rsidRDefault="00DB024E" w:rsidP="00DB024E">
      <w:pPr>
        <w:numPr>
          <w:ilvl w:val="0"/>
          <w:numId w:val="4"/>
        </w:numPr>
        <w:spacing w:after="0" w:line="240" w:lineRule="auto"/>
        <w:jc w:val="both"/>
        <w:rPr>
          <w:rFonts w:ascii="Tahoma" w:hAnsi="Tahoma" w:cs="Tahoma"/>
          <w:b/>
          <w:bCs/>
          <w:sz w:val="20"/>
          <w:szCs w:val="20"/>
        </w:rPr>
      </w:pPr>
      <w:r w:rsidRPr="00DB024E">
        <w:rPr>
          <w:rFonts w:ascii="Tahoma" w:hAnsi="Tahoma" w:cs="Tahoma"/>
          <w:sz w:val="20"/>
          <w:szCs w:val="20"/>
        </w:rPr>
        <w:t xml:space="preserve">En ese orden de ideas, al haber presentado documentación falsa e inexacta, el Contratista ha contravenido el </w:t>
      </w:r>
      <w:r w:rsidRPr="00DB024E">
        <w:rPr>
          <w:rFonts w:ascii="Tahoma" w:hAnsi="Tahoma" w:cs="Tahoma"/>
          <w:i/>
          <w:iCs/>
          <w:sz w:val="20"/>
          <w:szCs w:val="20"/>
        </w:rPr>
        <w:t>Principio de Moralidad</w:t>
      </w:r>
      <w:r w:rsidRPr="00DB024E">
        <w:rPr>
          <w:rFonts w:ascii="Tahoma" w:hAnsi="Tahoma" w:cs="Tahoma"/>
          <w:sz w:val="20"/>
          <w:szCs w:val="20"/>
        </w:rPr>
        <w:t xml:space="preserve"> que rige la contratación estatal y bajo el cual éstas deben caracterizarse por la </w:t>
      </w:r>
      <w:r w:rsidRPr="00DB024E">
        <w:rPr>
          <w:rFonts w:ascii="Tahoma" w:hAnsi="Tahoma" w:cs="Tahoma"/>
          <w:i/>
          <w:iCs/>
          <w:sz w:val="20"/>
          <w:szCs w:val="20"/>
        </w:rPr>
        <w:t>honradez, veracidad, intangibilidad, justicia y probidad</w:t>
      </w:r>
      <w:r w:rsidRPr="00DB024E">
        <w:rPr>
          <w:rFonts w:ascii="Tahoma" w:hAnsi="Tahoma" w:cs="Tahoma"/>
          <w:sz w:val="20"/>
          <w:szCs w:val="20"/>
        </w:rPr>
        <w:t>.</w:t>
      </w:r>
    </w:p>
    <w:p w:rsidR="00DB024E" w:rsidRDefault="00DB024E" w:rsidP="00DB024E">
      <w:pPr>
        <w:spacing w:after="0" w:line="240" w:lineRule="auto"/>
        <w:ind w:left="720"/>
        <w:jc w:val="both"/>
        <w:rPr>
          <w:rFonts w:ascii="Tahoma" w:hAnsi="Tahoma" w:cs="Tahoma"/>
          <w:b/>
          <w:bCs/>
          <w:sz w:val="20"/>
          <w:szCs w:val="20"/>
        </w:rPr>
      </w:pPr>
    </w:p>
    <w:p w:rsidR="00DB024E" w:rsidRPr="00DB024E" w:rsidRDefault="00DB024E" w:rsidP="00DB024E">
      <w:pPr>
        <w:numPr>
          <w:ilvl w:val="0"/>
          <w:numId w:val="4"/>
        </w:numPr>
        <w:tabs>
          <w:tab w:val="num" w:pos="567"/>
        </w:tabs>
        <w:spacing w:after="0" w:line="240" w:lineRule="auto"/>
        <w:jc w:val="both"/>
        <w:rPr>
          <w:rFonts w:ascii="Tahoma" w:hAnsi="Tahoma" w:cs="Tahoma"/>
          <w:b/>
          <w:bCs/>
          <w:sz w:val="20"/>
          <w:szCs w:val="20"/>
        </w:rPr>
      </w:pPr>
      <w:r w:rsidRPr="00DB024E">
        <w:rPr>
          <w:rFonts w:ascii="Tahoma" w:hAnsi="Tahoma" w:cs="Tahoma"/>
          <w:b/>
          <w:bCs/>
          <w:sz w:val="20"/>
          <w:szCs w:val="20"/>
        </w:rPr>
        <w:t xml:space="preserve">  </w:t>
      </w:r>
      <w:r w:rsidRPr="00DB024E">
        <w:rPr>
          <w:rFonts w:ascii="Tahoma" w:hAnsi="Tahoma" w:cs="Tahoma"/>
          <w:sz w:val="20"/>
          <w:szCs w:val="20"/>
        </w:rPr>
        <w:t xml:space="preserve">Consecuentemente, la conducta desarrollada por el Postor califica dentro del supuesto de hecho de la infracción tipificada en el numeral 1) literal i) del artículo 51 de la Ley y 237 del Reglamento, por la cual corresponde imponer una sanción administrativa de inhabilitación para ser postor y contratar con el Estado por un período no menor de 12 ni mayor 36 meses, </w:t>
      </w:r>
      <w:r w:rsidRPr="00DB024E">
        <w:rPr>
          <w:rFonts w:ascii="Tahoma" w:hAnsi="Tahoma" w:cs="Tahoma"/>
          <w:sz w:val="20"/>
          <w:szCs w:val="20"/>
          <w:lang w:val="es-MX"/>
        </w:rPr>
        <w:t xml:space="preserve">conforme a los criterios </w:t>
      </w:r>
      <w:r w:rsidRPr="00DB024E">
        <w:rPr>
          <w:rFonts w:ascii="Tahoma" w:hAnsi="Tahoma" w:cs="Tahoma"/>
          <w:sz w:val="20"/>
          <w:szCs w:val="20"/>
        </w:rPr>
        <w:t>para la determinación gradual de la sanción previstos en el artículo 245</w:t>
      </w:r>
      <w:r w:rsidRPr="00DB024E">
        <w:rPr>
          <w:rFonts w:ascii="Tahoma" w:hAnsi="Tahoma" w:cs="Tahoma"/>
          <w:sz w:val="20"/>
          <w:szCs w:val="20"/>
          <w:vertAlign w:val="superscript"/>
        </w:rPr>
        <w:footnoteReference w:id="11"/>
      </w:r>
      <w:r w:rsidRPr="00DB024E">
        <w:rPr>
          <w:rFonts w:ascii="Tahoma" w:hAnsi="Tahoma" w:cs="Tahoma"/>
          <w:sz w:val="20"/>
          <w:szCs w:val="20"/>
        </w:rPr>
        <w:t xml:space="preserve"> del Reglamento.</w:t>
      </w:r>
    </w:p>
    <w:p w:rsidR="00DB024E" w:rsidRDefault="00DB024E" w:rsidP="00DB024E">
      <w:pPr>
        <w:spacing w:after="0" w:line="240" w:lineRule="auto"/>
        <w:ind w:left="720"/>
        <w:jc w:val="both"/>
        <w:rPr>
          <w:rFonts w:ascii="Tahoma" w:hAnsi="Tahoma" w:cs="Tahoma"/>
          <w:sz w:val="20"/>
          <w:szCs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 xml:space="preserve">Además, debe tenerse en cuenta que de acuerdo al </w:t>
      </w:r>
      <w:r w:rsidRPr="00DB024E">
        <w:rPr>
          <w:rFonts w:ascii="Tahoma" w:hAnsi="Tahoma" w:cs="Tahoma"/>
          <w:i/>
          <w:iCs/>
          <w:sz w:val="20"/>
          <w:szCs w:val="20"/>
        </w:rPr>
        <w:t>Principio de Razonabilidad</w:t>
      </w:r>
      <w:r w:rsidRPr="00DB024E">
        <w:rPr>
          <w:rFonts w:ascii="Tahoma" w:hAnsi="Tahoma" w:cs="Tahoma"/>
          <w:sz w:val="20"/>
          <w:szCs w:val="20"/>
        </w:rPr>
        <w:t>, consagrado en el numeral 3 del artículo 230º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DB024E" w:rsidRDefault="00DB024E" w:rsidP="00DB024E">
      <w:pPr>
        <w:spacing w:after="0" w:line="240" w:lineRule="auto"/>
        <w:ind w:left="720"/>
        <w:jc w:val="both"/>
        <w:rPr>
          <w:rFonts w:ascii="Tahoma" w:hAnsi="Tahoma" w:cs="Tahoma"/>
          <w:sz w:val="20"/>
          <w:szCs w:val="20"/>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En lo que atañe a la conducta procesal del infractor durante la sustanciación del presente procedimiento administrativo sancionador, es necesario tener presente que el Postor no ha presentado los descargos solicitados.</w:t>
      </w:r>
    </w:p>
    <w:p w:rsidR="00DB024E" w:rsidRPr="00DB024E" w:rsidRDefault="00DB024E" w:rsidP="00DB024E">
      <w:pPr>
        <w:pStyle w:val="Prrafodelista"/>
        <w:rPr>
          <w:rFonts w:ascii="Tahoma" w:hAnsi="Tahoma" w:cs="Tahoma"/>
          <w:sz w:val="20"/>
          <w:lang w:val="es-ES"/>
        </w:rPr>
      </w:pPr>
    </w:p>
    <w:p w:rsidR="00DB024E" w:rsidRPr="00DB024E" w:rsidRDefault="00DB024E" w:rsidP="00DB024E">
      <w:pPr>
        <w:numPr>
          <w:ilvl w:val="0"/>
          <w:numId w:val="4"/>
        </w:numPr>
        <w:spacing w:after="0" w:line="240" w:lineRule="auto"/>
        <w:jc w:val="both"/>
        <w:rPr>
          <w:rFonts w:ascii="Tahoma" w:hAnsi="Tahoma" w:cs="Tahoma"/>
          <w:sz w:val="20"/>
          <w:szCs w:val="20"/>
        </w:rPr>
      </w:pPr>
      <w:r w:rsidRPr="00DB024E">
        <w:rPr>
          <w:rFonts w:ascii="Tahoma" w:hAnsi="Tahoma" w:cs="Tahoma"/>
          <w:sz w:val="20"/>
          <w:szCs w:val="20"/>
        </w:rPr>
        <w:t>Asimismo, lo antes expuesto se encuentra relacionado a la intencionalidad del infractor, pues su conducta llevaba implícita la consecución de un fin, es decir, generar ante el comité Especial la imagen de contar con una experiencia mayor a la realmente obtenida, a efectos de obtener una ventaja comparativa favorable en relación a los otros competidores, tan es así, que logró adjudicarse la correspondiente buena pro en virtud a una falsa experiencia.</w:t>
      </w:r>
    </w:p>
    <w:p w:rsidR="00DB024E" w:rsidRDefault="00DB024E" w:rsidP="00DB024E">
      <w:pPr>
        <w:widowControl w:val="0"/>
        <w:suppressAutoHyphens/>
        <w:spacing w:after="0" w:line="240" w:lineRule="auto"/>
        <w:ind w:left="720"/>
        <w:jc w:val="both"/>
        <w:rPr>
          <w:rFonts w:ascii="Tahoma" w:hAnsi="Tahoma" w:cs="Tahoma"/>
          <w:sz w:val="20"/>
          <w:szCs w:val="20"/>
        </w:rPr>
      </w:pPr>
    </w:p>
    <w:p w:rsidR="00DB024E" w:rsidRPr="00DB024E" w:rsidRDefault="00DB024E" w:rsidP="00DB024E">
      <w:pPr>
        <w:widowControl w:val="0"/>
        <w:numPr>
          <w:ilvl w:val="0"/>
          <w:numId w:val="4"/>
        </w:numPr>
        <w:suppressAutoHyphens/>
        <w:spacing w:after="0" w:line="240" w:lineRule="auto"/>
        <w:jc w:val="both"/>
        <w:rPr>
          <w:rFonts w:ascii="Tahoma" w:hAnsi="Tahoma" w:cs="Tahoma"/>
          <w:sz w:val="20"/>
          <w:szCs w:val="20"/>
        </w:rPr>
      </w:pPr>
      <w:r w:rsidRPr="00DB024E">
        <w:rPr>
          <w:rFonts w:ascii="Tahoma" w:hAnsi="Tahoma" w:cs="Tahoma"/>
          <w:sz w:val="20"/>
          <w:szCs w:val="20"/>
        </w:rPr>
        <w:t>Por otro lado, no puede dejar de valorarse, a favor del postor, que no ha sido sancionado anteriormente por este Colegiado, teniendo hábiles sus derechos de participar en procesos de selección y contratar con el Estado.</w:t>
      </w:r>
    </w:p>
    <w:p w:rsidR="00DB024E" w:rsidRDefault="00DB024E" w:rsidP="00DB024E">
      <w:pPr>
        <w:widowControl w:val="0"/>
        <w:suppressAutoHyphens/>
        <w:spacing w:after="0" w:line="240" w:lineRule="auto"/>
        <w:ind w:left="720"/>
        <w:jc w:val="both"/>
        <w:rPr>
          <w:rFonts w:ascii="Tahoma" w:hAnsi="Tahoma" w:cs="Tahoma"/>
          <w:sz w:val="20"/>
          <w:szCs w:val="20"/>
        </w:rPr>
      </w:pPr>
    </w:p>
    <w:p w:rsidR="00DB024E" w:rsidRPr="00DB024E" w:rsidRDefault="00DB024E" w:rsidP="00DB024E">
      <w:pPr>
        <w:widowControl w:val="0"/>
        <w:numPr>
          <w:ilvl w:val="0"/>
          <w:numId w:val="4"/>
        </w:numPr>
        <w:suppressAutoHyphens/>
        <w:spacing w:after="0" w:line="240" w:lineRule="auto"/>
        <w:jc w:val="both"/>
        <w:rPr>
          <w:rFonts w:ascii="Tahoma" w:hAnsi="Tahoma" w:cs="Tahoma"/>
          <w:sz w:val="20"/>
          <w:szCs w:val="20"/>
        </w:rPr>
      </w:pPr>
      <w:r w:rsidRPr="00DB024E">
        <w:rPr>
          <w:rFonts w:ascii="Tahoma" w:hAnsi="Tahoma" w:cs="Tahoma"/>
          <w:sz w:val="20"/>
          <w:szCs w:val="20"/>
        </w:rPr>
        <w:t>Consecuentemente, en virtud a los criterios expuestos, este Colegiado considera que corresponde imponer al Postor una sanción equivalente a doce (12) meses de inhabilitación temporal para participar en procesos de selección y para contratar con el Estado.</w:t>
      </w:r>
    </w:p>
    <w:p w:rsidR="00DB024E" w:rsidRPr="00DB024E" w:rsidRDefault="00DB024E" w:rsidP="00DB024E">
      <w:pPr>
        <w:spacing w:after="0" w:line="240" w:lineRule="auto"/>
        <w:ind w:left="720"/>
        <w:jc w:val="both"/>
        <w:rPr>
          <w:rFonts w:ascii="Tahoma" w:hAnsi="Tahoma" w:cs="Tahoma"/>
          <w:b/>
          <w:bCs/>
          <w:sz w:val="20"/>
          <w:szCs w:val="20"/>
        </w:rPr>
      </w:pPr>
    </w:p>
    <w:p w:rsidR="00DB024E" w:rsidRPr="00DB024E" w:rsidRDefault="00DB024E" w:rsidP="00DB024E">
      <w:pPr>
        <w:numPr>
          <w:ilvl w:val="0"/>
          <w:numId w:val="4"/>
        </w:numPr>
        <w:spacing w:after="0" w:line="240" w:lineRule="auto"/>
        <w:jc w:val="both"/>
        <w:rPr>
          <w:rFonts w:ascii="Tahoma" w:hAnsi="Tahoma" w:cs="Tahoma"/>
          <w:b/>
          <w:bCs/>
          <w:sz w:val="20"/>
          <w:szCs w:val="20"/>
        </w:rPr>
      </w:pPr>
      <w:r w:rsidRPr="00DB024E">
        <w:rPr>
          <w:rFonts w:ascii="Tahoma" w:hAnsi="Tahoma" w:cs="Tahoma"/>
          <w:sz w:val="20"/>
          <w:szCs w:val="20"/>
        </w:rPr>
        <w:t>Finalmente, atendiendo a que la falsificación de documentos constituye un ilícito penal, previsto y sancionado en el artículo 427º del Código Penal</w:t>
      </w:r>
      <w:r w:rsidRPr="00DB024E">
        <w:rPr>
          <w:rFonts w:ascii="Tahoma" w:hAnsi="Tahoma" w:cs="Tahoma"/>
          <w:sz w:val="20"/>
          <w:szCs w:val="20"/>
          <w:vertAlign w:val="superscript"/>
        </w:rPr>
        <w:footnoteReference w:id="12"/>
      </w:r>
      <w:r w:rsidRPr="00DB024E">
        <w:rPr>
          <w:rFonts w:ascii="Tahoma" w:hAnsi="Tahoma" w:cs="Tahoma"/>
          <w:sz w:val="20"/>
          <w:szCs w:val="20"/>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438º del referido Código Penal</w:t>
      </w:r>
      <w:r w:rsidRPr="00DB024E">
        <w:rPr>
          <w:rFonts w:ascii="Tahoma" w:hAnsi="Tahoma" w:cs="Tahoma"/>
          <w:sz w:val="20"/>
          <w:szCs w:val="20"/>
          <w:vertAlign w:val="superscript"/>
        </w:rPr>
        <w:footnoteReference w:id="13"/>
      </w:r>
      <w:r w:rsidRPr="00DB024E">
        <w:rPr>
          <w:rFonts w:ascii="Tahoma" w:hAnsi="Tahoma" w:cs="Tahoma"/>
          <w:sz w:val="20"/>
          <w:szCs w:val="20"/>
        </w:rPr>
        <w:t xml:space="preserve">, también se encuentran tipificados como delito de falsedad </w:t>
      </w:r>
      <w:r w:rsidRPr="00DB024E">
        <w:rPr>
          <w:rFonts w:ascii="Tahoma" w:hAnsi="Tahoma" w:cs="Tahoma"/>
          <w:sz w:val="20"/>
          <w:szCs w:val="20"/>
        </w:rPr>
        <w:lastRenderedPageBreak/>
        <w:t>genérica aquellos en los que se cometa falsedad simulando, suponiendo, alterando la verdad intencionalmente y con perjuicio de terceros, por palabras, hechos o usurpando nombre, calidad o empleo que no le corresponde, se dispone poner en conocimiento del Ministerio Público y la Presidencia del OSCE los hechos expuestos para que procedan conforme a sus atribuciones.</w:t>
      </w:r>
    </w:p>
    <w:p w:rsidR="00DB024E" w:rsidRPr="00DB024E" w:rsidRDefault="00DB024E" w:rsidP="00DB024E">
      <w:pPr>
        <w:spacing w:after="0" w:line="240" w:lineRule="auto"/>
        <w:ind w:firstLine="567"/>
        <w:jc w:val="both"/>
        <w:rPr>
          <w:rFonts w:ascii="Tahoma" w:hAnsi="Tahoma" w:cs="Tahoma"/>
          <w:sz w:val="20"/>
          <w:szCs w:val="20"/>
        </w:rPr>
      </w:pPr>
    </w:p>
    <w:p w:rsidR="00DB024E" w:rsidRPr="00DB024E" w:rsidRDefault="00DB024E" w:rsidP="00DB024E">
      <w:pPr>
        <w:spacing w:after="0" w:line="240" w:lineRule="auto"/>
        <w:ind w:left="-284" w:firstLine="360"/>
        <w:jc w:val="both"/>
        <w:rPr>
          <w:rFonts w:ascii="Tahoma" w:hAnsi="Tahoma" w:cs="Tahoma"/>
          <w:sz w:val="20"/>
          <w:szCs w:val="20"/>
        </w:rPr>
      </w:pPr>
      <w:r w:rsidRPr="00DB024E">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DB024E" w:rsidRPr="00DB024E" w:rsidRDefault="00DB024E" w:rsidP="00DB024E">
      <w:pPr>
        <w:spacing w:after="0" w:line="240" w:lineRule="auto"/>
        <w:jc w:val="both"/>
        <w:rPr>
          <w:rFonts w:ascii="Tahoma" w:hAnsi="Tahoma" w:cs="Tahoma"/>
          <w:sz w:val="20"/>
          <w:szCs w:val="20"/>
        </w:rPr>
      </w:pPr>
    </w:p>
    <w:p w:rsidR="00DB024E" w:rsidRPr="00DB024E" w:rsidRDefault="00DB024E" w:rsidP="00DB024E">
      <w:pPr>
        <w:spacing w:after="0" w:line="240" w:lineRule="auto"/>
        <w:ind w:right="-315"/>
        <w:jc w:val="both"/>
        <w:rPr>
          <w:rFonts w:ascii="Tahoma" w:hAnsi="Tahoma" w:cs="Tahoma"/>
          <w:b/>
          <w:sz w:val="20"/>
          <w:szCs w:val="20"/>
        </w:rPr>
      </w:pPr>
      <w:r w:rsidRPr="00DB024E">
        <w:rPr>
          <w:rFonts w:ascii="Tahoma" w:hAnsi="Tahoma" w:cs="Tahoma"/>
          <w:b/>
          <w:sz w:val="20"/>
          <w:szCs w:val="20"/>
        </w:rPr>
        <w:t>LA SALA RESUELVE:</w:t>
      </w:r>
    </w:p>
    <w:p w:rsidR="00DB024E" w:rsidRPr="00DB024E" w:rsidRDefault="00DB024E" w:rsidP="00DB024E">
      <w:pPr>
        <w:spacing w:after="0" w:line="240" w:lineRule="auto"/>
        <w:ind w:left="360"/>
        <w:jc w:val="both"/>
        <w:rPr>
          <w:rFonts w:ascii="Tahoma" w:hAnsi="Tahoma" w:cs="Tahoma"/>
          <w:sz w:val="20"/>
          <w:szCs w:val="20"/>
        </w:rPr>
      </w:pPr>
    </w:p>
    <w:p w:rsidR="00DB024E" w:rsidRPr="00DB024E" w:rsidRDefault="00DB024E" w:rsidP="00DB024E">
      <w:pPr>
        <w:numPr>
          <w:ilvl w:val="0"/>
          <w:numId w:val="5"/>
        </w:numPr>
        <w:spacing w:after="0" w:line="240" w:lineRule="auto"/>
        <w:jc w:val="both"/>
        <w:rPr>
          <w:rFonts w:ascii="Tahoma" w:hAnsi="Tahoma" w:cs="Tahoma"/>
          <w:sz w:val="20"/>
          <w:szCs w:val="20"/>
        </w:rPr>
      </w:pPr>
      <w:r w:rsidRPr="00DB024E">
        <w:rPr>
          <w:rFonts w:ascii="Tahoma" w:hAnsi="Tahoma" w:cs="Tahoma"/>
          <w:sz w:val="20"/>
          <w:szCs w:val="20"/>
          <w:lang w:val="es-PE"/>
        </w:rPr>
        <w:t xml:space="preserve">Imponer a la empresa </w:t>
      </w:r>
      <w:r w:rsidRPr="00DB024E">
        <w:rPr>
          <w:rFonts w:ascii="Tahoma" w:hAnsi="Tahoma" w:cs="Tahoma"/>
          <w:sz w:val="20"/>
          <w:szCs w:val="20"/>
        </w:rPr>
        <w:t>INVERSIONES HOME AND TOOLS E.I.R.L., sanción administrativa de inhabilitación temporal por el período de doce (12) meses en sus derechos de participar en procesos de selección y contratar con el Estado, por la comisión de la infracción tipificada en el literal i) del numeral 51.1 del artículo 51 de la Ley de Contrataciones del Estado, aprobado por Decreto Legislativo Nº 1017, y en el literal i) del numeral 1 del artículo 237º de su Reglamento, la cual entrará en vigencia a partir del sexto día hábil de notificada la presente Resolución.</w:t>
      </w:r>
    </w:p>
    <w:p w:rsidR="00DB024E" w:rsidRDefault="00DB024E" w:rsidP="00DB024E">
      <w:pPr>
        <w:spacing w:after="0" w:line="240" w:lineRule="auto"/>
        <w:ind w:left="360"/>
        <w:jc w:val="both"/>
        <w:rPr>
          <w:rFonts w:ascii="Tahoma" w:hAnsi="Tahoma" w:cs="Tahoma"/>
          <w:sz w:val="20"/>
          <w:szCs w:val="20"/>
        </w:rPr>
      </w:pPr>
    </w:p>
    <w:p w:rsidR="00DB024E" w:rsidRPr="00DB024E" w:rsidRDefault="00DB024E" w:rsidP="00DB024E">
      <w:pPr>
        <w:numPr>
          <w:ilvl w:val="0"/>
          <w:numId w:val="5"/>
        </w:numPr>
        <w:spacing w:after="0" w:line="240" w:lineRule="auto"/>
        <w:jc w:val="both"/>
        <w:rPr>
          <w:rFonts w:ascii="Tahoma" w:hAnsi="Tahoma" w:cs="Tahoma"/>
          <w:sz w:val="20"/>
          <w:szCs w:val="20"/>
        </w:rPr>
      </w:pPr>
      <w:r w:rsidRPr="00DB024E">
        <w:rPr>
          <w:rFonts w:ascii="Tahoma" w:hAnsi="Tahoma" w:cs="Tahoma"/>
          <w:sz w:val="20"/>
          <w:szCs w:val="20"/>
        </w:rPr>
        <w:t>Poner la presente Resolución en conocimiento de la Subdirección del Registro Nacional de Proveedores del Organismo Supervisor de la Contrataciones del Estado (OSCE), para las anotaciones de ley.</w:t>
      </w:r>
    </w:p>
    <w:p w:rsidR="00DB024E" w:rsidRPr="00DB024E" w:rsidRDefault="00DB024E" w:rsidP="00DB024E">
      <w:pPr>
        <w:pStyle w:val="Prrafodelista"/>
        <w:rPr>
          <w:rFonts w:ascii="Tahoma" w:hAnsi="Tahoma" w:cs="Tahoma"/>
          <w:sz w:val="20"/>
          <w:lang w:val="es-ES"/>
        </w:rPr>
      </w:pPr>
    </w:p>
    <w:p w:rsidR="00DB024E" w:rsidRPr="00DB024E" w:rsidRDefault="00DB024E" w:rsidP="00DB024E">
      <w:pPr>
        <w:numPr>
          <w:ilvl w:val="0"/>
          <w:numId w:val="5"/>
        </w:numPr>
        <w:spacing w:after="0" w:line="240" w:lineRule="auto"/>
        <w:jc w:val="both"/>
        <w:rPr>
          <w:rFonts w:ascii="Tahoma" w:hAnsi="Tahoma" w:cs="Tahoma"/>
          <w:sz w:val="20"/>
          <w:szCs w:val="20"/>
        </w:rPr>
      </w:pPr>
      <w:r w:rsidRPr="00DB024E">
        <w:rPr>
          <w:rFonts w:ascii="Tahoma" w:hAnsi="Tahoma" w:cs="Tahoma"/>
          <w:sz w:val="20"/>
          <w:szCs w:val="20"/>
        </w:rPr>
        <w:t>Poner la presente Resolución en conocimiento del Ministerio Público y de la Presidencia Ejecutiva del Organismo Supervisor de las Contrataciones del Estado (OSCE), para que en mérito de sus atribuciones, adopte las medidas que estime pertinente.</w:t>
      </w:r>
    </w:p>
    <w:p w:rsidR="00DB024E" w:rsidRPr="00DB024E" w:rsidRDefault="00DB024E" w:rsidP="00DB024E">
      <w:pPr>
        <w:pStyle w:val="Ttulo3"/>
        <w:spacing w:line="240" w:lineRule="auto"/>
        <w:jc w:val="both"/>
        <w:rPr>
          <w:rFonts w:ascii="Tahoma" w:hAnsi="Tahoma" w:cs="Tahoma"/>
          <w:b w:val="0"/>
          <w:bCs w:val="0"/>
          <w:sz w:val="20"/>
          <w:szCs w:val="20"/>
        </w:rPr>
      </w:pPr>
      <w:r w:rsidRPr="00DB024E">
        <w:rPr>
          <w:rFonts w:ascii="Tahoma" w:hAnsi="Tahoma" w:cs="Tahoma"/>
          <w:b w:val="0"/>
          <w:sz w:val="20"/>
          <w:szCs w:val="20"/>
        </w:rPr>
        <w:t>Regístrese, comuníquese y publíquese.</w:t>
      </w:r>
    </w:p>
    <w:p w:rsidR="00DB024E" w:rsidRDefault="00DB024E" w:rsidP="00DB024E">
      <w:pPr>
        <w:spacing w:after="0" w:line="240" w:lineRule="auto"/>
        <w:jc w:val="both"/>
        <w:rPr>
          <w:rFonts w:ascii="Tahoma" w:hAnsi="Tahoma" w:cs="Tahoma"/>
          <w:b/>
          <w:shadow/>
          <w:sz w:val="20"/>
          <w:szCs w:val="20"/>
        </w:rPr>
      </w:pPr>
    </w:p>
    <w:p w:rsidR="00DB024E" w:rsidRPr="00DB024E" w:rsidRDefault="00DB024E" w:rsidP="00DB024E">
      <w:pPr>
        <w:spacing w:after="0" w:line="240" w:lineRule="auto"/>
        <w:jc w:val="both"/>
        <w:rPr>
          <w:rFonts w:ascii="Tahoma" w:hAnsi="Tahoma" w:cs="Tahoma"/>
          <w:b/>
          <w:shadow/>
          <w:sz w:val="20"/>
          <w:szCs w:val="20"/>
        </w:rPr>
      </w:pPr>
    </w:p>
    <w:p w:rsidR="00DB024E" w:rsidRPr="00DB024E" w:rsidRDefault="00DB024E" w:rsidP="00DB024E">
      <w:pPr>
        <w:spacing w:after="0" w:line="240" w:lineRule="auto"/>
        <w:jc w:val="both"/>
        <w:rPr>
          <w:rFonts w:ascii="Tahoma" w:hAnsi="Tahoma" w:cs="Tahoma"/>
          <w:b/>
          <w:shadow/>
          <w:sz w:val="20"/>
          <w:szCs w:val="20"/>
        </w:rPr>
      </w:pPr>
    </w:p>
    <w:p w:rsidR="00DB024E" w:rsidRPr="00DB024E" w:rsidRDefault="00DB024E" w:rsidP="00DB024E">
      <w:pPr>
        <w:spacing w:after="0" w:line="240" w:lineRule="auto"/>
        <w:ind w:left="2832" w:firstLine="708"/>
        <w:jc w:val="both"/>
        <w:rPr>
          <w:rFonts w:ascii="Tahoma" w:hAnsi="Tahoma" w:cs="Tahoma"/>
          <w:b/>
          <w:shadow/>
          <w:sz w:val="20"/>
          <w:szCs w:val="20"/>
        </w:rPr>
      </w:pPr>
      <w:r w:rsidRPr="00DB024E">
        <w:rPr>
          <w:rFonts w:ascii="Tahoma" w:hAnsi="Tahoma" w:cs="Tahoma"/>
          <w:b/>
          <w:shadow/>
          <w:sz w:val="20"/>
          <w:szCs w:val="20"/>
        </w:rPr>
        <w:t>PRESIDENTE</w:t>
      </w:r>
    </w:p>
    <w:p w:rsidR="00DB024E" w:rsidRPr="00DB024E" w:rsidRDefault="00DB024E" w:rsidP="00DB024E">
      <w:pPr>
        <w:spacing w:after="0" w:line="240" w:lineRule="auto"/>
        <w:jc w:val="both"/>
        <w:rPr>
          <w:rFonts w:ascii="Tahoma" w:hAnsi="Tahoma" w:cs="Tahoma"/>
          <w:b/>
          <w:shadow/>
          <w:sz w:val="20"/>
          <w:szCs w:val="20"/>
        </w:rPr>
      </w:pPr>
    </w:p>
    <w:p w:rsidR="00DB024E" w:rsidRPr="00DB024E" w:rsidRDefault="00DB024E" w:rsidP="00DB024E">
      <w:pPr>
        <w:spacing w:after="0" w:line="240" w:lineRule="auto"/>
        <w:jc w:val="both"/>
        <w:rPr>
          <w:rFonts w:ascii="Tahoma" w:hAnsi="Tahoma" w:cs="Tahoma"/>
          <w:b/>
          <w:shadow/>
          <w:sz w:val="20"/>
          <w:szCs w:val="20"/>
        </w:rPr>
      </w:pPr>
    </w:p>
    <w:p w:rsidR="00DB024E" w:rsidRPr="00DB024E" w:rsidRDefault="00DB024E" w:rsidP="00DB024E">
      <w:pPr>
        <w:spacing w:after="0" w:line="240" w:lineRule="auto"/>
        <w:jc w:val="both"/>
        <w:rPr>
          <w:rFonts w:ascii="Tahoma" w:hAnsi="Tahoma" w:cs="Tahoma"/>
          <w:b/>
          <w:shadow/>
          <w:sz w:val="20"/>
          <w:szCs w:val="20"/>
        </w:rPr>
      </w:pPr>
    </w:p>
    <w:p w:rsidR="00DB024E" w:rsidRPr="00DB024E" w:rsidRDefault="00DB024E" w:rsidP="00DB024E">
      <w:pPr>
        <w:spacing w:after="0" w:line="240" w:lineRule="auto"/>
        <w:jc w:val="both"/>
        <w:rPr>
          <w:rFonts w:ascii="Tahoma" w:hAnsi="Tahoma" w:cs="Tahoma"/>
          <w:shadow/>
          <w:sz w:val="20"/>
          <w:szCs w:val="20"/>
        </w:rPr>
      </w:pPr>
      <w:r w:rsidRPr="00DB024E">
        <w:rPr>
          <w:rFonts w:ascii="Tahoma" w:hAnsi="Tahoma" w:cs="Tahoma"/>
          <w:b/>
          <w:shadow/>
          <w:sz w:val="20"/>
          <w:szCs w:val="20"/>
        </w:rPr>
        <w:t xml:space="preserve">                  VOCAL</w:t>
      </w:r>
      <w:r w:rsidRPr="00DB024E">
        <w:rPr>
          <w:rFonts w:ascii="Tahoma" w:hAnsi="Tahoma" w:cs="Tahoma"/>
          <w:b/>
          <w:shadow/>
          <w:sz w:val="20"/>
          <w:szCs w:val="20"/>
        </w:rPr>
        <w:tab/>
      </w:r>
      <w:r w:rsidRPr="00DB024E">
        <w:rPr>
          <w:rFonts w:ascii="Tahoma" w:hAnsi="Tahoma" w:cs="Tahoma"/>
          <w:b/>
          <w:shadow/>
          <w:sz w:val="20"/>
          <w:szCs w:val="20"/>
        </w:rPr>
        <w:tab/>
      </w:r>
      <w:r w:rsidRPr="00DB024E">
        <w:rPr>
          <w:rFonts w:ascii="Tahoma" w:hAnsi="Tahoma" w:cs="Tahoma"/>
          <w:b/>
          <w:shadow/>
          <w:sz w:val="20"/>
          <w:szCs w:val="20"/>
        </w:rPr>
        <w:tab/>
      </w:r>
      <w:r w:rsidRPr="00DB024E">
        <w:rPr>
          <w:rFonts w:ascii="Tahoma" w:hAnsi="Tahoma" w:cs="Tahoma"/>
          <w:b/>
          <w:shadow/>
          <w:sz w:val="20"/>
          <w:szCs w:val="20"/>
        </w:rPr>
        <w:tab/>
      </w:r>
      <w:r w:rsidRPr="00DB024E">
        <w:rPr>
          <w:rFonts w:ascii="Tahoma" w:hAnsi="Tahoma" w:cs="Tahoma"/>
          <w:b/>
          <w:shadow/>
          <w:sz w:val="20"/>
          <w:szCs w:val="20"/>
        </w:rPr>
        <w:tab/>
      </w:r>
      <w:r w:rsidRPr="00DB024E">
        <w:rPr>
          <w:rFonts w:ascii="Tahoma" w:hAnsi="Tahoma" w:cs="Tahoma"/>
          <w:b/>
          <w:shadow/>
          <w:sz w:val="20"/>
          <w:szCs w:val="20"/>
        </w:rPr>
        <w:tab/>
      </w:r>
      <w:r w:rsidRPr="00DB024E">
        <w:rPr>
          <w:rFonts w:ascii="Tahoma" w:hAnsi="Tahoma" w:cs="Tahoma"/>
          <w:b/>
          <w:shadow/>
          <w:sz w:val="20"/>
          <w:szCs w:val="20"/>
        </w:rPr>
        <w:tab/>
      </w:r>
      <w:r w:rsidRPr="00DB024E">
        <w:rPr>
          <w:rFonts w:ascii="Tahoma" w:hAnsi="Tahoma" w:cs="Tahoma"/>
          <w:b/>
          <w:shadow/>
          <w:sz w:val="20"/>
          <w:szCs w:val="20"/>
        </w:rPr>
        <w:tab/>
        <w:t xml:space="preserve">VOCAL                                                                 </w:t>
      </w:r>
    </w:p>
    <w:p w:rsidR="00DB024E" w:rsidRPr="00DB024E" w:rsidRDefault="00DB024E" w:rsidP="00DB024E">
      <w:pPr>
        <w:spacing w:after="0" w:line="240" w:lineRule="auto"/>
        <w:jc w:val="both"/>
        <w:rPr>
          <w:rFonts w:ascii="Tahoma" w:hAnsi="Tahoma" w:cs="Tahoma"/>
          <w:sz w:val="20"/>
          <w:szCs w:val="20"/>
        </w:rPr>
      </w:pPr>
    </w:p>
    <w:p w:rsidR="00DB024E" w:rsidRPr="00DB024E" w:rsidRDefault="00DB024E" w:rsidP="00DB024E">
      <w:pPr>
        <w:spacing w:after="0" w:line="240" w:lineRule="auto"/>
        <w:jc w:val="both"/>
        <w:rPr>
          <w:rFonts w:ascii="Tahoma" w:hAnsi="Tahoma" w:cs="Tahoma"/>
          <w:sz w:val="20"/>
          <w:szCs w:val="20"/>
        </w:rPr>
      </w:pPr>
    </w:p>
    <w:p w:rsidR="00DB024E" w:rsidRPr="001700D9" w:rsidRDefault="00DB024E" w:rsidP="00DB024E">
      <w:pPr>
        <w:spacing w:after="0" w:line="240" w:lineRule="auto"/>
        <w:jc w:val="both"/>
        <w:rPr>
          <w:rFonts w:ascii="Tahoma" w:hAnsi="Tahoma" w:cs="Tahoma"/>
          <w:sz w:val="18"/>
          <w:szCs w:val="18"/>
        </w:rPr>
      </w:pPr>
      <w:r w:rsidRPr="001700D9">
        <w:rPr>
          <w:rFonts w:ascii="Tahoma" w:hAnsi="Tahoma" w:cs="Tahoma"/>
          <w:sz w:val="18"/>
          <w:szCs w:val="18"/>
        </w:rPr>
        <w:t>ss.</w:t>
      </w:r>
    </w:p>
    <w:p w:rsidR="00DB024E" w:rsidRPr="001700D9" w:rsidRDefault="00DB024E" w:rsidP="00DB024E">
      <w:pPr>
        <w:spacing w:after="0" w:line="240" w:lineRule="auto"/>
        <w:jc w:val="both"/>
        <w:rPr>
          <w:rFonts w:ascii="Tahoma" w:hAnsi="Tahoma" w:cs="Tahoma"/>
          <w:sz w:val="18"/>
          <w:szCs w:val="18"/>
        </w:rPr>
      </w:pPr>
      <w:r w:rsidRPr="001700D9">
        <w:rPr>
          <w:rFonts w:ascii="Tahoma" w:hAnsi="Tahoma" w:cs="Tahoma"/>
          <w:sz w:val="18"/>
          <w:szCs w:val="18"/>
        </w:rPr>
        <w:t>Navas Rondón,</w:t>
      </w:r>
    </w:p>
    <w:p w:rsidR="00DB024E" w:rsidRPr="001700D9" w:rsidRDefault="00DB024E" w:rsidP="00DB024E">
      <w:pPr>
        <w:spacing w:after="0" w:line="240" w:lineRule="auto"/>
        <w:jc w:val="both"/>
        <w:rPr>
          <w:rFonts w:ascii="Tahoma" w:hAnsi="Tahoma" w:cs="Tahoma"/>
          <w:sz w:val="18"/>
          <w:szCs w:val="18"/>
        </w:rPr>
      </w:pPr>
      <w:r w:rsidRPr="001700D9">
        <w:rPr>
          <w:rFonts w:ascii="Tahoma" w:hAnsi="Tahoma" w:cs="Tahoma"/>
          <w:sz w:val="18"/>
          <w:szCs w:val="18"/>
        </w:rPr>
        <w:t>Ramírez Maynetto,</w:t>
      </w:r>
    </w:p>
    <w:p w:rsidR="00DB024E" w:rsidRPr="001700D9" w:rsidRDefault="00DB024E" w:rsidP="00DB024E">
      <w:pPr>
        <w:spacing w:after="0" w:line="240" w:lineRule="auto"/>
        <w:jc w:val="both"/>
        <w:rPr>
          <w:rFonts w:ascii="Tahoma" w:hAnsi="Tahoma" w:cs="Tahoma"/>
          <w:sz w:val="18"/>
          <w:szCs w:val="18"/>
        </w:rPr>
      </w:pPr>
      <w:r w:rsidRPr="001700D9">
        <w:rPr>
          <w:rFonts w:ascii="Tahoma" w:hAnsi="Tahoma" w:cs="Tahoma"/>
          <w:sz w:val="18"/>
          <w:szCs w:val="18"/>
        </w:rPr>
        <w:t>Basulto Liewald.</w:t>
      </w:r>
    </w:p>
    <w:sectPr w:rsidR="00DB024E" w:rsidRPr="001700D9" w:rsidSect="001700D9">
      <w:headerReference w:type="default" r:id="rId7"/>
      <w:footerReference w:type="default" r:id="rId8"/>
      <w:pgSz w:w="11906" w:h="16838"/>
      <w:pgMar w:top="2836" w:right="1416" w:bottom="1843" w:left="184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68E" w:rsidRDefault="001E068E" w:rsidP="00DB024E">
      <w:pPr>
        <w:spacing w:after="0" w:line="240" w:lineRule="auto"/>
      </w:pPr>
      <w:r>
        <w:separator/>
      </w:r>
    </w:p>
  </w:endnote>
  <w:endnote w:type="continuationSeparator" w:id="1">
    <w:p w:rsidR="001E068E" w:rsidRDefault="001E068E" w:rsidP="00DB02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10E" w:rsidRPr="00FD5A0C" w:rsidRDefault="006C7735">
    <w:pPr>
      <w:pStyle w:val="Piedepgina"/>
      <w:jc w:val="center"/>
      <w:rPr>
        <w:rFonts w:ascii="Tahoma" w:hAnsi="Tahoma" w:cs="Tahoma"/>
        <w:i/>
        <w:sz w:val="18"/>
        <w:szCs w:val="18"/>
      </w:rPr>
    </w:pPr>
    <w:r w:rsidRPr="00FD5A0C">
      <w:rPr>
        <w:rFonts w:ascii="Tahoma" w:hAnsi="Tahoma" w:cs="Tahoma"/>
        <w:i/>
        <w:sz w:val="18"/>
        <w:szCs w:val="18"/>
      </w:rPr>
      <w:t xml:space="preserve">Página </w:t>
    </w:r>
    <w:r w:rsidR="0018611D" w:rsidRPr="00FD5A0C">
      <w:rPr>
        <w:rFonts w:ascii="Tahoma" w:hAnsi="Tahoma" w:cs="Tahoma"/>
        <w:i/>
        <w:sz w:val="18"/>
        <w:szCs w:val="18"/>
      </w:rPr>
      <w:fldChar w:fldCharType="begin"/>
    </w:r>
    <w:r w:rsidRPr="00FD5A0C">
      <w:rPr>
        <w:rFonts w:ascii="Tahoma" w:hAnsi="Tahoma" w:cs="Tahoma"/>
        <w:i/>
        <w:sz w:val="18"/>
        <w:szCs w:val="18"/>
      </w:rPr>
      <w:instrText>PAGE</w:instrText>
    </w:r>
    <w:r w:rsidR="0018611D" w:rsidRPr="00FD5A0C">
      <w:rPr>
        <w:rFonts w:ascii="Tahoma" w:hAnsi="Tahoma" w:cs="Tahoma"/>
        <w:i/>
        <w:sz w:val="18"/>
        <w:szCs w:val="18"/>
      </w:rPr>
      <w:fldChar w:fldCharType="separate"/>
    </w:r>
    <w:r w:rsidR="0027225B">
      <w:rPr>
        <w:rFonts w:ascii="Tahoma" w:hAnsi="Tahoma" w:cs="Tahoma"/>
        <w:i/>
        <w:noProof/>
        <w:sz w:val="18"/>
        <w:szCs w:val="18"/>
      </w:rPr>
      <w:t>1</w:t>
    </w:r>
    <w:r w:rsidR="0018611D" w:rsidRPr="00FD5A0C">
      <w:rPr>
        <w:rFonts w:ascii="Tahoma" w:hAnsi="Tahoma" w:cs="Tahoma"/>
        <w:i/>
        <w:sz w:val="18"/>
        <w:szCs w:val="18"/>
      </w:rPr>
      <w:fldChar w:fldCharType="end"/>
    </w:r>
    <w:r w:rsidRPr="00FD5A0C">
      <w:rPr>
        <w:rFonts w:ascii="Tahoma" w:hAnsi="Tahoma" w:cs="Tahoma"/>
        <w:i/>
        <w:sz w:val="18"/>
        <w:szCs w:val="18"/>
      </w:rPr>
      <w:t xml:space="preserve"> de </w:t>
    </w:r>
    <w:r w:rsidR="0018611D" w:rsidRPr="00FD5A0C">
      <w:rPr>
        <w:rFonts w:ascii="Tahoma" w:hAnsi="Tahoma" w:cs="Tahoma"/>
        <w:i/>
        <w:sz w:val="18"/>
        <w:szCs w:val="18"/>
      </w:rPr>
      <w:fldChar w:fldCharType="begin"/>
    </w:r>
    <w:r w:rsidRPr="00FD5A0C">
      <w:rPr>
        <w:rFonts w:ascii="Tahoma" w:hAnsi="Tahoma" w:cs="Tahoma"/>
        <w:i/>
        <w:sz w:val="18"/>
        <w:szCs w:val="18"/>
      </w:rPr>
      <w:instrText>NUMPAGES</w:instrText>
    </w:r>
    <w:r w:rsidR="0018611D" w:rsidRPr="00FD5A0C">
      <w:rPr>
        <w:rFonts w:ascii="Tahoma" w:hAnsi="Tahoma" w:cs="Tahoma"/>
        <w:i/>
        <w:sz w:val="18"/>
        <w:szCs w:val="18"/>
      </w:rPr>
      <w:fldChar w:fldCharType="separate"/>
    </w:r>
    <w:r w:rsidR="0027225B">
      <w:rPr>
        <w:rFonts w:ascii="Tahoma" w:hAnsi="Tahoma" w:cs="Tahoma"/>
        <w:i/>
        <w:noProof/>
        <w:sz w:val="18"/>
        <w:szCs w:val="18"/>
      </w:rPr>
      <w:t>9</w:t>
    </w:r>
    <w:r w:rsidR="0018611D" w:rsidRPr="00FD5A0C">
      <w:rPr>
        <w:rFonts w:ascii="Tahoma" w:hAnsi="Tahoma" w:cs="Tahoma"/>
        <w:i/>
        <w:sz w:val="18"/>
        <w:szCs w:val="18"/>
      </w:rPr>
      <w:fldChar w:fldCharType="end"/>
    </w:r>
  </w:p>
  <w:p w:rsidR="003A110E" w:rsidRDefault="001E068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68E" w:rsidRDefault="001E068E" w:rsidP="00DB024E">
      <w:pPr>
        <w:spacing w:after="0" w:line="240" w:lineRule="auto"/>
      </w:pPr>
      <w:r>
        <w:separator/>
      </w:r>
    </w:p>
  </w:footnote>
  <w:footnote w:type="continuationSeparator" w:id="1">
    <w:p w:rsidR="001E068E" w:rsidRDefault="001E068E" w:rsidP="00DB024E">
      <w:pPr>
        <w:spacing w:after="0" w:line="240" w:lineRule="auto"/>
      </w:pPr>
      <w:r>
        <w:continuationSeparator/>
      </w:r>
    </w:p>
  </w:footnote>
  <w:footnote w:id="2">
    <w:p w:rsidR="00DB024E" w:rsidRDefault="00DB024E" w:rsidP="00DB024E">
      <w:pPr>
        <w:pStyle w:val="Textonotapie"/>
      </w:pPr>
      <w:r>
        <w:rPr>
          <w:rStyle w:val="Refdenotaalpie"/>
        </w:rPr>
        <w:footnoteRef/>
      </w:r>
      <w:r>
        <w:t xml:space="preserve"> Documento obrante a fojas 073</w:t>
      </w:r>
    </w:p>
  </w:footnote>
  <w:footnote w:id="3">
    <w:p w:rsidR="00DB024E" w:rsidRDefault="00DB024E" w:rsidP="00DB024E">
      <w:pPr>
        <w:pStyle w:val="Textonotapie"/>
      </w:pPr>
      <w:r>
        <w:rPr>
          <w:rStyle w:val="Refdenotaalpie"/>
        </w:rPr>
        <w:footnoteRef/>
      </w:r>
      <w:r>
        <w:t xml:space="preserve"> Documento obrante a fojas 060.</w:t>
      </w:r>
    </w:p>
  </w:footnote>
  <w:footnote w:id="4">
    <w:p w:rsidR="00DB024E" w:rsidRDefault="00DB024E" w:rsidP="00DB024E">
      <w:pPr>
        <w:pStyle w:val="Textonotapie"/>
      </w:pPr>
      <w:r>
        <w:rPr>
          <w:rStyle w:val="Refdenotaalpie"/>
        </w:rPr>
        <w:footnoteRef/>
      </w:r>
      <w:r>
        <w:t xml:space="preserve"> Documentos obrantes a fojas 062 y 075.</w:t>
      </w:r>
    </w:p>
  </w:footnote>
  <w:footnote w:id="5">
    <w:p w:rsidR="00DB024E" w:rsidRPr="0040213E" w:rsidRDefault="00DB024E" w:rsidP="00DB024E">
      <w:pPr>
        <w:pStyle w:val="Textonotapie"/>
        <w:rPr>
          <w:rFonts w:ascii="Times New Roman" w:hAnsi="Times New Roman" w:cs="Times New Roman"/>
          <w:i/>
          <w:iCs/>
          <w:sz w:val="18"/>
          <w:szCs w:val="18"/>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i/>
          <w:iCs/>
          <w:sz w:val="18"/>
          <w:szCs w:val="18"/>
        </w:rPr>
        <w:t xml:space="preserve"> Aprobada por Decreto Legislativo Nº 1017.</w:t>
      </w:r>
    </w:p>
    <w:p w:rsidR="00DB024E" w:rsidRDefault="00DB024E" w:rsidP="00DB024E">
      <w:pPr>
        <w:pStyle w:val="Textonotapie"/>
      </w:pPr>
    </w:p>
  </w:footnote>
  <w:footnote w:id="6">
    <w:p w:rsidR="00DB024E" w:rsidRPr="0040213E" w:rsidRDefault="00DB024E" w:rsidP="00DB024E">
      <w:pPr>
        <w:pStyle w:val="Textonotapie"/>
        <w:rPr>
          <w:rFonts w:ascii="Times New Roman" w:hAnsi="Times New Roman" w:cs="Times New Roman"/>
          <w:i/>
          <w:iCs/>
          <w:sz w:val="18"/>
          <w:szCs w:val="18"/>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i/>
          <w:iCs/>
          <w:sz w:val="18"/>
          <w:szCs w:val="18"/>
        </w:rPr>
        <w:t xml:space="preserve"> Aprobado por Decreto Supremo Nº 184-2008-EF.</w:t>
      </w:r>
    </w:p>
    <w:p w:rsidR="00DB024E" w:rsidRDefault="00DB024E" w:rsidP="00DB024E">
      <w:pPr>
        <w:pStyle w:val="Textonotapie"/>
      </w:pPr>
    </w:p>
  </w:footnote>
  <w:footnote w:id="7">
    <w:p w:rsidR="00DB024E" w:rsidRPr="0040213E" w:rsidRDefault="00DB024E" w:rsidP="00DB024E">
      <w:pPr>
        <w:pStyle w:val="Textonotapie"/>
        <w:rPr>
          <w:rFonts w:ascii="Times New Roman" w:hAnsi="Times New Roman" w:cs="Times New Roman"/>
          <w:i/>
          <w:iCs/>
          <w:sz w:val="18"/>
          <w:szCs w:val="18"/>
        </w:rPr>
      </w:pPr>
      <w:r w:rsidRPr="0040213E">
        <w:rPr>
          <w:rStyle w:val="Refdenotaalpie"/>
          <w:rFonts w:ascii="Times New Roman" w:hAnsi="Times New Roman" w:cs="Times New Roman"/>
          <w:b/>
          <w:bCs/>
          <w:i/>
          <w:iCs/>
          <w:sz w:val="18"/>
          <w:szCs w:val="18"/>
        </w:rPr>
        <w:footnoteRef/>
      </w:r>
      <w:r w:rsidRPr="0040213E">
        <w:rPr>
          <w:rFonts w:ascii="Times New Roman" w:hAnsi="Times New Roman" w:cs="Times New Roman"/>
          <w:i/>
          <w:iCs/>
          <w:sz w:val="18"/>
          <w:szCs w:val="18"/>
        </w:rPr>
        <w:t xml:space="preserve"> </w:t>
      </w:r>
      <w:r w:rsidRPr="0040213E">
        <w:rPr>
          <w:rFonts w:ascii="Times New Roman" w:hAnsi="Times New Roman" w:cs="Times New Roman"/>
          <w:b/>
          <w:bCs/>
          <w:i/>
          <w:iCs/>
          <w:sz w:val="18"/>
          <w:szCs w:val="18"/>
        </w:rPr>
        <w:t>El Principio de Presunción de Veracidad</w:t>
      </w:r>
      <w:r w:rsidRPr="0040213E">
        <w:rPr>
          <w:rFonts w:ascii="Times New Roman" w:hAnsi="Times New Roman" w:cs="Times New Roman"/>
          <w:i/>
          <w:iCs/>
          <w:sz w:val="18"/>
          <w:szCs w:val="18"/>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40213E">
        <w:rPr>
          <w:rFonts w:ascii="Times New Roman" w:hAnsi="Times New Roman" w:cs="Times New Roman"/>
          <w:b/>
          <w:bCs/>
          <w:i/>
          <w:iCs/>
          <w:sz w:val="18"/>
          <w:szCs w:val="18"/>
        </w:rPr>
        <w:t>Comentarios a la Ley del Procedimiento Administrativo General</w:t>
      </w:r>
      <w:r w:rsidRPr="0040213E">
        <w:rPr>
          <w:rFonts w:ascii="Times New Roman" w:hAnsi="Times New Roman" w:cs="Times New Roman"/>
          <w:i/>
          <w:iCs/>
          <w:sz w:val="18"/>
          <w:szCs w:val="18"/>
        </w:rPr>
        <w:t>. Cuarta Edición. Lima: Gaceta Jurídica, 2005; pp. 74 -75.</w:t>
      </w:r>
    </w:p>
    <w:p w:rsidR="00DB024E" w:rsidRDefault="00DB024E" w:rsidP="00DB024E">
      <w:pPr>
        <w:pStyle w:val="Textonotapie"/>
      </w:pPr>
    </w:p>
  </w:footnote>
  <w:footnote w:id="8">
    <w:p w:rsidR="00DB024E" w:rsidRDefault="00DB024E" w:rsidP="00DB024E">
      <w:pPr>
        <w:pStyle w:val="Textonotapie"/>
      </w:pPr>
      <w:r>
        <w:rPr>
          <w:rStyle w:val="Refdenotaalpie"/>
          <w:sz w:val="16"/>
          <w:szCs w:val="16"/>
        </w:rPr>
        <w:footnoteRef/>
      </w:r>
      <w:r>
        <w:rPr>
          <w:sz w:val="16"/>
          <w:szCs w:val="16"/>
        </w:rPr>
        <w:t xml:space="preserve"> </w:t>
      </w:r>
      <w:r>
        <w:rPr>
          <w:b/>
          <w:bCs/>
          <w:sz w:val="16"/>
          <w:szCs w:val="16"/>
        </w:rPr>
        <w:t>Principio de Privilegio de Controles Posteriores.-</w:t>
      </w:r>
      <w:r>
        <w:rPr>
          <w:sz w:val="16"/>
          <w:szCs w:val="16"/>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 w:id="9">
    <w:p w:rsidR="00DB024E" w:rsidRDefault="00DB024E" w:rsidP="00DB024E">
      <w:pPr>
        <w:pStyle w:val="Textonotapie"/>
      </w:pPr>
      <w:r>
        <w:rPr>
          <w:rStyle w:val="Refdenotaalpie"/>
        </w:rPr>
        <w:footnoteRef/>
      </w:r>
      <w:r>
        <w:t xml:space="preserve"> Documento obrante a fojas 113</w:t>
      </w:r>
    </w:p>
  </w:footnote>
  <w:footnote w:id="10">
    <w:p w:rsidR="00DB024E" w:rsidRDefault="00DB024E" w:rsidP="00DB024E">
      <w:pPr>
        <w:pStyle w:val="Textonotapie"/>
      </w:pPr>
      <w:r>
        <w:rPr>
          <w:rStyle w:val="Refdenotaalpie"/>
        </w:rPr>
        <w:footnoteRef/>
      </w:r>
      <w:r>
        <w:t xml:space="preserve"> Documento obrante a fojas 125</w:t>
      </w:r>
    </w:p>
  </w:footnote>
  <w:footnote w:id="11">
    <w:p w:rsidR="00DB024E" w:rsidRPr="00F42138" w:rsidRDefault="00DB024E" w:rsidP="00DB024E">
      <w:pPr>
        <w:pStyle w:val="Textonotapie"/>
        <w:ind w:left="142" w:hanging="142"/>
        <w:rPr>
          <w:rFonts w:ascii="Times New Roman" w:hAnsi="Times New Roman" w:cs="Times New Roman"/>
          <w:b/>
          <w:bCs/>
          <w:i/>
          <w:iCs/>
          <w:sz w:val="16"/>
          <w:szCs w:val="16"/>
          <w:lang w:val="es-ES_tradnl"/>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b/>
          <w:bCs/>
          <w:i/>
          <w:iCs/>
          <w:sz w:val="18"/>
          <w:szCs w:val="18"/>
        </w:rPr>
        <w:t xml:space="preserve"> </w:t>
      </w:r>
      <w:r w:rsidRPr="00F42138">
        <w:rPr>
          <w:rFonts w:ascii="Times New Roman" w:hAnsi="Times New Roman" w:cs="Times New Roman"/>
          <w:b/>
          <w:bCs/>
          <w:i/>
          <w:iCs/>
          <w:sz w:val="16"/>
          <w:szCs w:val="16"/>
          <w:lang w:val="es-ES_tradnl"/>
        </w:rPr>
        <w:t>Artículo 245.- Determinación gradual de la sanción.-</w:t>
      </w:r>
    </w:p>
    <w:p w:rsidR="00DB024E" w:rsidRPr="00F42138" w:rsidRDefault="00DB024E" w:rsidP="00DB024E">
      <w:pPr>
        <w:pStyle w:val="Textonotapie"/>
        <w:ind w:left="142"/>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Para graduar la sanción de inhabilitación temporal a imponerse conforme a las disposiciones del presente Título, el Tribunal considerará los siguientes criterios:</w:t>
      </w:r>
    </w:p>
    <w:p w:rsidR="00DB024E" w:rsidRPr="00F42138" w:rsidRDefault="00DB024E" w:rsidP="00DB024E">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Naturaleza de la infracción.</w:t>
      </w:r>
    </w:p>
    <w:p w:rsidR="00DB024E" w:rsidRPr="00F42138" w:rsidRDefault="00DB024E" w:rsidP="00DB024E">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Intencionalidad del infractor.</w:t>
      </w:r>
    </w:p>
    <w:p w:rsidR="00DB024E" w:rsidRPr="00F42138" w:rsidRDefault="00DB024E" w:rsidP="00DB024E">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Daño causado.</w:t>
      </w:r>
    </w:p>
    <w:p w:rsidR="00DB024E" w:rsidRPr="00F42138" w:rsidRDefault="00DB024E" w:rsidP="00DB024E">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Reiterancia.</w:t>
      </w:r>
    </w:p>
    <w:p w:rsidR="00DB024E" w:rsidRPr="00F42138" w:rsidRDefault="00DB024E" w:rsidP="00DB024E">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El reconocimiento de la infracción cometida antes de que sea detectada.</w:t>
      </w:r>
    </w:p>
    <w:p w:rsidR="00DB024E" w:rsidRPr="00F42138" w:rsidRDefault="00DB024E" w:rsidP="00DB024E">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Circunstancias de tiempo, lugar y modo.</w:t>
      </w:r>
    </w:p>
    <w:p w:rsidR="00DB024E" w:rsidRPr="00F42138" w:rsidRDefault="00DB024E" w:rsidP="00DB024E">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Condiciones del infractor.</w:t>
      </w:r>
    </w:p>
    <w:p w:rsidR="00DB024E" w:rsidRDefault="00DB024E" w:rsidP="00DB024E">
      <w:pPr>
        <w:pStyle w:val="Textonotapie"/>
        <w:numPr>
          <w:ilvl w:val="0"/>
          <w:numId w:val="7"/>
        </w:numPr>
        <w:tabs>
          <w:tab w:val="num" w:pos="284"/>
        </w:tabs>
        <w:ind w:left="284" w:firstLine="0"/>
      </w:pPr>
      <w:r w:rsidRPr="00F42138">
        <w:rPr>
          <w:rFonts w:ascii="Times New Roman" w:hAnsi="Times New Roman" w:cs="Times New Roman"/>
          <w:i/>
          <w:iCs/>
          <w:sz w:val="16"/>
          <w:szCs w:val="16"/>
          <w:lang w:val="es-ES_tradnl"/>
        </w:rPr>
        <w:t xml:space="preserve">Conducta procesal del infractor. </w:t>
      </w:r>
    </w:p>
  </w:footnote>
  <w:footnote w:id="12">
    <w:p w:rsidR="00DB024E" w:rsidRPr="00F42138" w:rsidRDefault="00DB024E" w:rsidP="00DB024E">
      <w:pPr>
        <w:pStyle w:val="Textonotapie"/>
        <w:rPr>
          <w:rFonts w:ascii="Times New Roman" w:hAnsi="Times New Roman" w:cs="Times New Roman"/>
          <w:b/>
          <w:bCs/>
          <w:i/>
          <w:iCs/>
          <w:sz w:val="16"/>
          <w:szCs w:val="16"/>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i/>
          <w:iCs/>
          <w:sz w:val="18"/>
          <w:szCs w:val="18"/>
        </w:rPr>
        <w:t xml:space="preserve"> </w:t>
      </w:r>
      <w:r w:rsidRPr="00F42138">
        <w:rPr>
          <w:rFonts w:ascii="Times New Roman" w:hAnsi="Times New Roman" w:cs="Times New Roman"/>
          <w:b/>
          <w:bCs/>
          <w:i/>
          <w:iCs/>
          <w:sz w:val="16"/>
          <w:szCs w:val="16"/>
        </w:rPr>
        <w:t>Artículo 427.- Falsificación de documentos</w:t>
      </w:r>
    </w:p>
    <w:p w:rsidR="00DB024E" w:rsidRDefault="00DB024E" w:rsidP="00DB024E">
      <w:pPr>
        <w:pStyle w:val="Textonotapie"/>
      </w:pPr>
      <w:r w:rsidRPr="00F42138">
        <w:rPr>
          <w:rFonts w:ascii="Times New Roman" w:hAnsi="Times New Roman" w:cs="Times New Roman"/>
          <w:i/>
          <w:iCs/>
          <w:sz w:val="16"/>
          <w:szCs w:val="16"/>
        </w:rPr>
        <w:t xml:space="preserve">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 </w:t>
      </w:r>
    </w:p>
  </w:footnote>
  <w:footnote w:id="13">
    <w:p w:rsidR="00DB024E" w:rsidRPr="00F42138" w:rsidRDefault="00DB024E" w:rsidP="00DB024E">
      <w:pPr>
        <w:pStyle w:val="Textonotapie"/>
        <w:rPr>
          <w:rFonts w:ascii="Times New Roman" w:hAnsi="Times New Roman" w:cs="Times New Roman"/>
          <w:i/>
          <w:iCs/>
          <w:sz w:val="16"/>
          <w:szCs w:val="16"/>
        </w:rPr>
      </w:pPr>
      <w:r w:rsidRPr="00F42138">
        <w:rPr>
          <w:rStyle w:val="Refdenotaalpie"/>
          <w:rFonts w:ascii="Times New Roman" w:hAnsi="Times New Roman" w:cs="Times New Roman"/>
          <w:i/>
          <w:iCs/>
          <w:sz w:val="16"/>
          <w:szCs w:val="16"/>
        </w:rPr>
        <w:footnoteRef/>
      </w:r>
      <w:r w:rsidRPr="00F42138">
        <w:rPr>
          <w:rFonts w:ascii="Times New Roman" w:hAnsi="Times New Roman" w:cs="Times New Roman"/>
          <w:i/>
          <w:iCs/>
          <w:sz w:val="16"/>
          <w:szCs w:val="16"/>
        </w:rPr>
        <w:t xml:space="preserve"> </w:t>
      </w:r>
      <w:r w:rsidRPr="00F42138">
        <w:rPr>
          <w:rFonts w:ascii="Times New Roman" w:hAnsi="Times New Roman" w:cs="Times New Roman"/>
          <w:b/>
          <w:bCs/>
          <w:i/>
          <w:iCs/>
          <w:sz w:val="16"/>
          <w:szCs w:val="16"/>
        </w:rPr>
        <w:t>Artículo 438.- Falsedad genérica</w:t>
      </w:r>
      <w:r w:rsidRPr="00F42138">
        <w:rPr>
          <w:rFonts w:ascii="Times New Roman" w:hAnsi="Times New Roman" w:cs="Times New Roman"/>
          <w:i/>
          <w:iCs/>
          <w:sz w:val="16"/>
          <w:szCs w:val="16"/>
        </w:rPr>
        <w:t xml:space="preserve"> </w:t>
      </w:r>
    </w:p>
    <w:p w:rsidR="00DB024E" w:rsidRDefault="00DB024E" w:rsidP="00DB024E">
      <w:pPr>
        <w:pStyle w:val="Textonotapie"/>
      </w:pPr>
      <w:r w:rsidRPr="00F42138">
        <w:rPr>
          <w:rFonts w:ascii="Times New Roman" w:hAnsi="Times New Roman" w:cs="Times New Roman"/>
          <w:i/>
          <w:iCs/>
          <w:sz w:val="16"/>
          <w:szCs w:val="16"/>
        </w:rPr>
        <w:tab/>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25B" w:rsidRDefault="0027225B" w:rsidP="0027225B">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27225B" w:rsidRDefault="0027225B" w:rsidP="0027225B">
    <w:pPr>
      <w:pStyle w:val="Encabezado"/>
      <w:rPr>
        <w:noProof/>
      </w:rPr>
    </w:pPr>
  </w:p>
  <w:p w:rsidR="0027225B" w:rsidRDefault="0027225B" w:rsidP="0027225B">
    <w:pPr>
      <w:pStyle w:val="Encabezado"/>
      <w:jc w:val="center"/>
      <w:rPr>
        <w:rFonts w:ascii="Monotype Corsiva" w:hAnsi="Monotype Corsiva"/>
        <w:b/>
        <w:sz w:val="44"/>
        <w:szCs w:val="44"/>
      </w:rPr>
    </w:pPr>
  </w:p>
  <w:p w:rsidR="0027225B" w:rsidRDefault="0027225B" w:rsidP="0027225B">
    <w:pPr>
      <w:pStyle w:val="Encabezado"/>
      <w:jc w:val="center"/>
    </w:pPr>
    <w:r>
      <w:rPr>
        <w:rFonts w:ascii="Monotype Corsiva" w:hAnsi="Monotype Corsiva"/>
        <w:b/>
        <w:sz w:val="44"/>
        <w:szCs w:val="44"/>
      </w:rPr>
      <w:t xml:space="preserve">Resolución Nº   </w:t>
    </w:r>
    <w:r>
      <w:rPr>
        <w:rFonts w:ascii="Tahoma" w:hAnsi="Tahoma" w:cs="Tahoma"/>
        <w:b/>
        <w:sz w:val="44"/>
        <w:szCs w:val="44"/>
      </w:rPr>
      <w:t>986-2011-TC-S1</w:t>
    </w:r>
  </w:p>
  <w:p w:rsidR="0027225B" w:rsidRDefault="0027225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24BD2"/>
    <w:multiLevelType w:val="hybridMultilevel"/>
    <w:tmpl w:val="E8C089DC"/>
    <w:lvl w:ilvl="0" w:tplc="0C0A0019">
      <w:start w:val="1"/>
      <w:numFmt w:val="lowerLetter"/>
      <w:lvlText w:val="%1."/>
      <w:lvlJc w:val="left"/>
      <w:pPr>
        <w:ind w:left="1260" w:hanging="360"/>
      </w:pPr>
    </w:lvl>
    <w:lvl w:ilvl="1" w:tplc="0C0A0019">
      <w:start w:val="1"/>
      <w:numFmt w:val="lowerLetter"/>
      <w:lvlText w:val="%2."/>
      <w:lvlJc w:val="left"/>
      <w:pPr>
        <w:ind w:left="1980" w:hanging="360"/>
      </w:pPr>
    </w:lvl>
    <w:lvl w:ilvl="2" w:tplc="0C0A001B">
      <w:start w:val="1"/>
      <w:numFmt w:val="lowerRoman"/>
      <w:lvlText w:val="%3."/>
      <w:lvlJc w:val="right"/>
      <w:pPr>
        <w:ind w:left="2700" w:hanging="180"/>
      </w:pPr>
    </w:lvl>
    <w:lvl w:ilvl="3" w:tplc="0C0A000F">
      <w:start w:val="1"/>
      <w:numFmt w:val="decimal"/>
      <w:lvlText w:val="%4."/>
      <w:lvlJc w:val="left"/>
      <w:pPr>
        <w:ind w:left="3420" w:hanging="360"/>
      </w:pPr>
    </w:lvl>
    <w:lvl w:ilvl="4" w:tplc="0C0A0019">
      <w:start w:val="1"/>
      <w:numFmt w:val="lowerLetter"/>
      <w:lvlText w:val="%5."/>
      <w:lvlJc w:val="left"/>
      <w:pPr>
        <w:ind w:left="4140" w:hanging="360"/>
      </w:pPr>
    </w:lvl>
    <w:lvl w:ilvl="5" w:tplc="0C0A001B">
      <w:start w:val="1"/>
      <w:numFmt w:val="lowerRoman"/>
      <w:lvlText w:val="%6."/>
      <w:lvlJc w:val="right"/>
      <w:pPr>
        <w:ind w:left="4860" w:hanging="180"/>
      </w:pPr>
    </w:lvl>
    <w:lvl w:ilvl="6" w:tplc="0C0A000F">
      <w:start w:val="1"/>
      <w:numFmt w:val="decimal"/>
      <w:lvlText w:val="%7."/>
      <w:lvlJc w:val="left"/>
      <w:pPr>
        <w:ind w:left="5580" w:hanging="360"/>
      </w:pPr>
    </w:lvl>
    <w:lvl w:ilvl="7" w:tplc="0C0A0019">
      <w:start w:val="1"/>
      <w:numFmt w:val="lowerLetter"/>
      <w:lvlText w:val="%8."/>
      <w:lvlJc w:val="left"/>
      <w:pPr>
        <w:ind w:left="6300" w:hanging="360"/>
      </w:pPr>
    </w:lvl>
    <w:lvl w:ilvl="8" w:tplc="0C0A001B">
      <w:start w:val="1"/>
      <w:numFmt w:val="lowerRoman"/>
      <w:lvlText w:val="%9."/>
      <w:lvlJc w:val="right"/>
      <w:pPr>
        <w:ind w:left="7020" w:hanging="180"/>
      </w:pPr>
    </w:lvl>
  </w:abstractNum>
  <w:abstractNum w:abstractNumId="1">
    <w:nsid w:val="0D89661A"/>
    <w:multiLevelType w:val="hybridMultilevel"/>
    <w:tmpl w:val="28442342"/>
    <w:lvl w:ilvl="0" w:tplc="05107F02">
      <w:start w:val="1"/>
      <w:numFmt w:val="decimal"/>
      <w:lvlText w:val="%1."/>
      <w:lvlJc w:val="left"/>
      <w:pPr>
        <w:tabs>
          <w:tab w:val="num" w:pos="454"/>
        </w:tabs>
        <w:ind w:left="454" w:hanging="454"/>
      </w:pPr>
      <w:rPr>
        <w:rFonts w:ascii="Tahoma" w:hAnsi="Tahoma" w:hint="default"/>
        <w:b/>
        <w:bCs/>
        <w:i w:val="0"/>
        <w:iCs w:val="0"/>
        <w:outline w:val="0"/>
        <w:shadow/>
        <w:emboss w:val="0"/>
        <w:imprint w:val="0"/>
        <w:color w:val="auto"/>
        <w:sz w:val="20"/>
        <w:szCs w:val="20"/>
        <w:effect w:val="none"/>
      </w:rPr>
    </w:lvl>
    <w:lvl w:ilvl="1" w:tplc="5BA68C46">
      <w:start w:val="1"/>
      <w:numFmt w:val="lowerRoman"/>
      <w:lvlText w:val="(%2)"/>
      <w:lvlJc w:val="left"/>
      <w:pPr>
        <w:tabs>
          <w:tab w:val="num" w:pos="1800"/>
        </w:tabs>
        <w:ind w:left="1800" w:hanging="720"/>
      </w:pPr>
      <w:rPr>
        <w:b/>
        <w:bCs/>
      </w:rPr>
    </w:lvl>
    <w:lvl w:ilvl="2" w:tplc="91224666">
      <w:start w:val="1"/>
      <w:numFmt w:val="lowerRoman"/>
      <w:lvlText w:val="%3."/>
      <w:lvlJc w:val="left"/>
      <w:pPr>
        <w:tabs>
          <w:tab w:val="num" w:pos="1800"/>
        </w:tabs>
        <w:ind w:left="1800" w:hanging="720"/>
      </w:pPr>
      <w:rPr>
        <w:b/>
        <w:bCs/>
      </w:rPr>
    </w:lvl>
    <w:lvl w:ilvl="3" w:tplc="E034C060">
      <w:start w:val="1"/>
      <w:numFmt w:val="lowerLetter"/>
      <w:lvlText w:val="%4."/>
      <w:lvlJc w:val="left"/>
      <w:pPr>
        <w:tabs>
          <w:tab w:val="num" w:pos="2880"/>
        </w:tabs>
        <w:ind w:left="2880" w:hanging="360"/>
      </w:pPr>
      <w:rPr>
        <w:b/>
        <w:bCs/>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19922362"/>
    <w:multiLevelType w:val="hybridMultilevel"/>
    <w:tmpl w:val="40DC9F46"/>
    <w:lvl w:ilvl="0" w:tplc="0C0A0013">
      <w:start w:val="1"/>
      <w:numFmt w:val="upperRoman"/>
      <w:lvlText w:val="%1."/>
      <w:lvlJc w:val="righ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3">
    <w:nsid w:val="1A654C9E"/>
    <w:multiLevelType w:val="hybridMultilevel"/>
    <w:tmpl w:val="D7F680A0"/>
    <w:lvl w:ilvl="0" w:tplc="08A602CE">
      <w:start w:val="1"/>
      <w:numFmt w:val="decimal"/>
      <w:lvlText w:val="%1."/>
      <w:lvlJc w:val="left"/>
      <w:pPr>
        <w:tabs>
          <w:tab w:val="num" w:pos="360"/>
        </w:tabs>
        <w:ind w:left="360" w:hanging="360"/>
      </w:pPr>
      <w:rPr>
        <w:rFonts w:ascii="Tahoma" w:hAnsi="Tahoma" w:cs="Tahoma" w:hint="default"/>
        <w:b/>
        <w:bCs/>
        <w:i w:val="0"/>
        <w:iCs w:val="0"/>
        <w:sz w:val="20"/>
        <w:szCs w:val="20"/>
      </w:rPr>
    </w:lvl>
    <w:lvl w:ilvl="1" w:tplc="0C0A0019">
      <w:start w:val="1"/>
      <w:numFmt w:val="lowerLetter"/>
      <w:lvlText w:val="%2."/>
      <w:lvlJc w:val="left"/>
      <w:pPr>
        <w:tabs>
          <w:tab w:val="num" w:pos="360"/>
        </w:tabs>
        <w:ind w:left="360" w:hanging="360"/>
      </w:pPr>
    </w:lvl>
    <w:lvl w:ilvl="2" w:tplc="0C0A001B">
      <w:start w:val="1"/>
      <w:numFmt w:val="lowerRoman"/>
      <w:lvlText w:val="%3."/>
      <w:lvlJc w:val="right"/>
      <w:pPr>
        <w:tabs>
          <w:tab w:val="num" w:pos="1080"/>
        </w:tabs>
        <w:ind w:left="1080" w:hanging="180"/>
      </w:pPr>
    </w:lvl>
    <w:lvl w:ilvl="3" w:tplc="0C0A000F">
      <w:start w:val="1"/>
      <w:numFmt w:val="decimal"/>
      <w:lvlText w:val="%4."/>
      <w:lvlJc w:val="left"/>
      <w:pPr>
        <w:tabs>
          <w:tab w:val="num" w:pos="1800"/>
        </w:tabs>
        <w:ind w:left="1800" w:hanging="360"/>
      </w:pPr>
    </w:lvl>
    <w:lvl w:ilvl="4" w:tplc="0C0A0019">
      <w:start w:val="1"/>
      <w:numFmt w:val="lowerLetter"/>
      <w:lvlText w:val="%5."/>
      <w:lvlJc w:val="left"/>
      <w:pPr>
        <w:tabs>
          <w:tab w:val="num" w:pos="2520"/>
        </w:tabs>
        <w:ind w:left="2520" w:hanging="360"/>
      </w:pPr>
    </w:lvl>
    <w:lvl w:ilvl="5" w:tplc="0C0A001B">
      <w:start w:val="1"/>
      <w:numFmt w:val="lowerRoman"/>
      <w:lvlText w:val="%6."/>
      <w:lvlJc w:val="right"/>
      <w:pPr>
        <w:tabs>
          <w:tab w:val="num" w:pos="3240"/>
        </w:tabs>
        <w:ind w:left="3240" w:hanging="180"/>
      </w:pPr>
    </w:lvl>
    <w:lvl w:ilvl="6" w:tplc="0C0A000F">
      <w:start w:val="1"/>
      <w:numFmt w:val="decimal"/>
      <w:lvlText w:val="%7."/>
      <w:lvlJc w:val="left"/>
      <w:pPr>
        <w:tabs>
          <w:tab w:val="num" w:pos="3960"/>
        </w:tabs>
        <w:ind w:left="3960" w:hanging="360"/>
      </w:pPr>
    </w:lvl>
    <w:lvl w:ilvl="7" w:tplc="0C0A0019">
      <w:start w:val="1"/>
      <w:numFmt w:val="lowerLetter"/>
      <w:lvlText w:val="%8."/>
      <w:lvlJc w:val="left"/>
      <w:pPr>
        <w:tabs>
          <w:tab w:val="num" w:pos="4680"/>
        </w:tabs>
        <w:ind w:left="4680" w:hanging="360"/>
      </w:pPr>
    </w:lvl>
    <w:lvl w:ilvl="8" w:tplc="0C0A001B">
      <w:start w:val="1"/>
      <w:numFmt w:val="lowerRoman"/>
      <w:lvlText w:val="%9."/>
      <w:lvlJc w:val="right"/>
      <w:pPr>
        <w:tabs>
          <w:tab w:val="num" w:pos="5400"/>
        </w:tabs>
        <w:ind w:left="5400" w:hanging="180"/>
      </w:pPr>
    </w:lvl>
  </w:abstractNum>
  <w:abstractNum w:abstractNumId="4">
    <w:nsid w:val="2A604CF2"/>
    <w:multiLevelType w:val="hybridMultilevel"/>
    <w:tmpl w:val="46802A76"/>
    <w:lvl w:ilvl="0" w:tplc="52E8E292">
      <w:start w:val="1"/>
      <w:numFmt w:val="decimal"/>
      <w:lvlText w:val="%1)"/>
      <w:lvlJc w:val="left"/>
      <w:pPr>
        <w:tabs>
          <w:tab w:val="num" w:pos="644"/>
        </w:tabs>
        <w:ind w:left="644" w:hanging="360"/>
      </w:pPr>
      <w:rPr>
        <w:rFonts w:hint="default"/>
        <w:b w:val="0"/>
        <w:bCs w:val="0"/>
        <w:i/>
        <w:iCs/>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nsid w:val="328C59F9"/>
    <w:multiLevelType w:val="hybridMultilevel"/>
    <w:tmpl w:val="C6286CCA"/>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6">
    <w:nsid w:val="3C2B7E5B"/>
    <w:multiLevelType w:val="hybridMultilevel"/>
    <w:tmpl w:val="9BD26628"/>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7">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5E787690"/>
    <w:multiLevelType w:val="hybridMultilevel"/>
    <w:tmpl w:val="A4D62C46"/>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num w:numId="1">
    <w:abstractNumId w:val="1"/>
  </w:num>
  <w:num w:numId="2">
    <w:abstractNumId w:val="8"/>
  </w:num>
  <w:num w:numId="3">
    <w:abstractNumId w:val="6"/>
  </w:num>
  <w:num w:numId="4">
    <w:abstractNumId w:val="7"/>
  </w:num>
  <w:num w:numId="5">
    <w:abstractNumId w:val="3"/>
  </w:num>
  <w:num w:numId="6">
    <w:abstractNumId w:val="0"/>
  </w:num>
  <w:num w:numId="7">
    <w:abstractNumId w:val="4"/>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DB024E"/>
    <w:rsid w:val="000F52D4"/>
    <w:rsid w:val="001700D9"/>
    <w:rsid w:val="0018611D"/>
    <w:rsid w:val="001E068E"/>
    <w:rsid w:val="0027225B"/>
    <w:rsid w:val="00293075"/>
    <w:rsid w:val="0066645E"/>
    <w:rsid w:val="006C7735"/>
    <w:rsid w:val="007C015C"/>
    <w:rsid w:val="008A0798"/>
    <w:rsid w:val="0096071E"/>
    <w:rsid w:val="00DB024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24E"/>
    <w:rPr>
      <w:rFonts w:ascii="Calibri" w:eastAsia="Calibri" w:hAnsi="Calibri" w:cs="Times New Roman"/>
    </w:rPr>
  </w:style>
  <w:style w:type="paragraph" w:styleId="Ttulo2">
    <w:name w:val="heading 2"/>
    <w:basedOn w:val="Normal"/>
    <w:next w:val="Normal"/>
    <w:link w:val="Ttulo2Car"/>
    <w:qFormat/>
    <w:rsid w:val="00DB024E"/>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DB024E"/>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DB024E"/>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DB024E"/>
    <w:rPr>
      <w:rFonts w:ascii="Arial" w:eastAsia="Calibri" w:hAnsi="Arial" w:cs="Arial"/>
      <w:b/>
      <w:bCs/>
      <w:sz w:val="26"/>
      <w:szCs w:val="26"/>
    </w:rPr>
  </w:style>
  <w:style w:type="paragraph" w:styleId="Textoindependiente3">
    <w:name w:val="Body Text 3"/>
    <w:basedOn w:val="Normal"/>
    <w:link w:val="Textoindependiente3Car"/>
    <w:semiHidden/>
    <w:unhideWhenUsed/>
    <w:rsid w:val="00DB024E"/>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DB024E"/>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DB024E"/>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DB024E"/>
    <w:pPr>
      <w:tabs>
        <w:tab w:val="center" w:pos="4252"/>
        <w:tab w:val="right" w:pos="8504"/>
      </w:tabs>
    </w:pPr>
  </w:style>
  <w:style w:type="character" w:customStyle="1" w:styleId="PiedepginaCar">
    <w:name w:val="Pie de página Car"/>
    <w:basedOn w:val="Fuentedeprrafopredeter"/>
    <w:link w:val="Piedepgina"/>
    <w:uiPriority w:val="99"/>
    <w:rsid w:val="00DB024E"/>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Car2 Car1 Car,Texto independiente11"/>
    <w:basedOn w:val="Normal"/>
    <w:link w:val="TextonotapieCar"/>
    <w:uiPriority w:val="99"/>
    <w:rsid w:val="00DB024E"/>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DB024E"/>
    <w:rPr>
      <w:rFonts w:ascii="Tahoma" w:eastAsia="Calibri" w:hAnsi="Tahoma" w:cs="Tahoma"/>
      <w:sz w:val="20"/>
      <w:szCs w:val="20"/>
    </w:rPr>
  </w:style>
  <w:style w:type="character" w:styleId="Refdenotaalpie">
    <w:name w:val="footnote reference"/>
    <w:basedOn w:val="Fuentedeprrafopredeter"/>
    <w:uiPriority w:val="99"/>
    <w:semiHidden/>
    <w:rsid w:val="00DB024E"/>
    <w:rPr>
      <w:vertAlign w:val="superscript"/>
    </w:rPr>
  </w:style>
  <w:style w:type="paragraph" w:styleId="Textoindependiente">
    <w:name w:val="Body Text"/>
    <w:basedOn w:val="Normal"/>
    <w:link w:val="TextoindependienteCar"/>
    <w:uiPriority w:val="99"/>
    <w:semiHidden/>
    <w:unhideWhenUsed/>
    <w:rsid w:val="00DB024E"/>
    <w:pPr>
      <w:spacing w:after="120"/>
    </w:pPr>
  </w:style>
  <w:style w:type="character" w:customStyle="1" w:styleId="TextoindependienteCar">
    <w:name w:val="Texto independiente Car"/>
    <w:basedOn w:val="Fuentedeprrafopredeter"/>
    <w:link w:val="Textoindependiente"/>
    <w:uiPriority w:val="99"/>
    <w:semiHidden/>
    <w:rsid w:val="00DB024E"/>
    <w:rPr>
      <w:rFonts w:ascii="Calibri" w:eastAsia="Calibri" w:hAnsi="Calibri" w:cs="Times New Roman"/>
    </w:rPr>
  </w:style>
  <w:style w:type="paragraph" w:styleId="Encabezado">
    <w:name w:val="header"/>
    <w:aliases w:val="maria,h"/>
    <w:basedOn w:val="Normal"/>
    <w:link w:val="EncabezadoCar"/>
    <w:uiPriority w:val="99"/>
    <w:semiHidden/>
    <w:unhideWhenUsed/>
    <w:rsid w:val="0027225B"/>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27225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56961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3547</Words>
  <Characters>19514</Characters>
  <Application>Microsoft Office Word</Application>
  <DocSecurity>0</DocSecurity>
  <Lines>162</Lines>
  <Paragraphs>46</Paragraphs>
  <ScaleCrop>false</ScaleCrop>
  <Company/>
  <LinksUpToDate>false</LinksUpToDate>
  <CharactersWithSpaces>23015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6</cp:revision>
  <cp:lastPrinted>2011-06-07T22:39:00Z</cp:lastPrinted>
  <dcterms:created xsi:type="dcterms:W3CDTF">2011-06-07T22:14:00Z</dcterms:created>
  <dcterms:modified xsi:type="dcterms:W3CDTF">2011-07-22T20:26:00Z</dcterms:modified>
</cp:coreProperties>
</file>